
<file path=[Content_Types].xml><?xml version="1.0" encoding="utf-8"?>
<Types xmlns="http://schemas.openxmlformats.org/package/2006/content-types">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C044C1" w:rsidRDefault="00FC0BEA">
      <w:pPr>
        <w:rPr>
          <w:b/>
        </w:rPr>
      </w:pPr>
      <w:r>
        <w:rPr>
          <w:b/>
        </w:rPr>
        <w:t xml:space="preserve">27F </w:t>
      </w:r>
      <w:r w:rsidR="0008572D">
        <w:rPr>
          <w:b/>
        </w:rPr>
        <w:t>¿</w:t>
      </w:r>
      <w:r w:rsidR="00DE6C5B">
        <w:rPr>
          <w:b/>
        </w:rPr>
        <w:t>La reconstrucción</w:t>
      </w:r>
      <w:r w:rsidR="0008572D">
        <w:rPr>
          <w:b/>
        </w:rPr>
        <w:t xml:space="preserve"> como ejercicio de derechos u oportunidad para el lucro?</w:t>
      </w:r>
    </w:p>
    <w:p w:rsidR="00614A40" w:rsidRPr="00C044C1" w:rsidRDefault="00C044C1" w:rsidP="00C044C1">
      <w:pPr>
        <w:pStyle w:val="Standard"/>
        <w:rPr>
          <w:rFonts w:asciiTheme="majorHAnsi" w:hAnsiTheme="majorHAnsi"/>
          <w:b/>
          <w:sz w:val="22"/>
          <w:lang w:val="es-ES_tradnl"/>
        </w:rPr>
      </w:pPr>
      <w:r>
        <w:rPr>
          <w:rFonts w:asciiTheme="majorHAnsi" w:hAnsiTheme="majorHAnsi"/>
          <w:b/>
          <w:sz w:val="22"/>
          <w:lang w:val="es-ES_tradnl"/>
        </w:rPr>
        <w:t>Por Claudio Pulgar Pinaud</w:t>
      </w:r>
      <w:r>
        <w:rPr>
          <w:rStyle w:val="Refdenotaalpie"/>
          <w:rFonts w:asciiTheme="majorHAnsi" w:hAnsiTheme="majorHAnsi"/>
          <w:b/>
          <w:sz w:val="22"/>
          <w:lang w:val="es-ES_tradnl"/>
        </w:rPr>
        <w:footnoteReference w:id="0"/>
      </w:r>
    </w:p>
    <w:p w:rsidR="0008572D" w:rsidRPr="00DD386F" w:rsidRDefault="0008572D" w:rsidP="0008572D">
      <w:pPr>
        <w:pStyle w:val="Standard"/>
        <w:rPr>
          <w:rFonts w:asciiTheme="majorHAnsi" w:hAnsiTheme="majorHAnsi"/>
          <w:color w:val="FF0000"/>
          <w:sz w:val="22"/>
          <w:lang w:val="es-ES_tradnl"/>
        </w:rPr>
      </w:pPr>
      <w:r w:rsidRPr="005D715D">
        <w:rPr>
          <w:rFonts w:asciiTheme="majorHAnsi" w:hAnsiTheme="majorHAnsi"/>
          <w:sz w:val="22"/>
          <w:lang w:val="es-ES_tradnl"/>
        </w:rPr>
        <w:t>A pesar de que el Estado chileno tiene los recursos suficientes</w:t>
      </w:r>
      <w:r>
        <w:rPr>
          <w:rFonts w:asciiTheme="majorHAnsi" w:hAnsiTheme="majorHAnsi"/>
          <w:sz w:val="22"/>
          <w:lang w:val="es-ES_tradnl"/>
        </w:rPr>
        <w:t xml:space="preserve"> (luego de años sostenidos de crecimiento económico)</w:t>
      </w:r>
      <w:r w:rsidRPr="005D715D">
        <w:rPr>
          <w:rFonts w:asciiTheme="majorHAnsi" w:hAnsiTheme="majorHAnsi"/>
          <w:sz w:val="22"/>
          <w:lang w:val="es-ES_tradnl"/>
        </w:rPr>
        <w:t xml:space="preserve">, existe la percepción de que hay una barrera ideológica que impide que las autoridades asuman una posición desde un Estado garante de derechos, y frente a eso prefieran reproducir y profundizar el modelo de Estado subsidiario con el único objetivo de reducirlo, dándole protagonismo al sector privado y no a los actores sociales. En este sentido la </w:t>
      </w:r>
      <w:r w:rsidRPr="005D715D">
        <w:rPr>
          <w:rFonts w:ascii="Calibri" w:hAnsi="Calibri"/>
          <w:bCs/>
          <w:sz w:val="22"/>
          <w:lang w:val="es-ES_tradnl"/>
        </w:rPr>
        <w:t>cooperación publico-privada</w:t>
      </w:r>
      <w:r>
        <w:rPr>
          <w:rFonts w:ascii="Calibri" w:hAnsi="Calibri"/>
          <w:bCs/>
          <w:sz w:val="22"/>
          <w:lang w:val="es-ES_tradnl"/>
        </w:rPr>
        <w:t xml:space="preserve"> ha sido la tónica. De hecho debiéramos hablar para el caso del proceso de reconstrucción en Chile, en algunos </w:t>
      </w:r>
      <w:r w:rsidRPr="00DD386F">
        <w:rPr>
          <w:rFonts w:asciiTheme="majorHAnsi" w:hAnsiTheme="majorHAnsi"/>
          <w:bCs/>
          <w:sz w:val="22"/>
          <w:lang w:val="es-ES_tradnl"/>
        </w:rPr>
        <w:t>casos de cooperación privada-pública, poniendo en primera posición al sector privado.</w:t>
      </w:r>
    </w:p>
    <w:p w:rsidR="0008572D" w:rsidRPr="00DD386F" w:rsidRDefault="0008572D" w:rsidP="0008572D">
      <w:pPr>
        <w:pStyle w:val="Standard"/>
        <w:rPr>
          <w:rFonts w:asciiTheme="majorHAnsi" w:hAnsiTheme="majorHAnsi"/>
          <w:sz w:val="22"/>
        </w:rPr>
      </w:pPr>
      <w:r w:rsidRPr="00DD386F">
        <w:rPr>
          <w:rFonts w:asciiTheme="majorHAnsi" w:hAnsiTheme="majorHAnsi"/>
          <w:sz w:val="22"/>
        </w:rPr>
        <w:t>Desde el minuto de afrontar la emergencia</w:t>
      </w:r>
      <w:r>
        <w:rPr>
          <w:rFonts w:asciiTheme="majorHAnsi" w:hAnsiTheme="majorHAnsi"/>
          <w:sz w:val="22"/>
        </w:rPr>
        <w:t xml:space="preserve"> han existido cuestionamientos </w:t>
      </w:r>
      <w:r w:rsidRPr="00DD386F">
        <w:rPr>
          <w:rFonts w:asciiTheme="majorHAnsi" w:hAnsiTheme="majorHAnsi"/>
          <w:sz w:val="22"/>
        </w:rPr>
        <w:t>e investigaciones sobre la relación “incestuosa” entre sector público y privado. Algunas casos han sido: el sobrepago</w:t>
      </w:r>
      <w:r w:rsidRPr="00DD386F">
        <w:rPr>
          <w:rStyle w:val="Refdenotaalpie"/>
          <w:rFonts w:asciiTheme="majorHAnsi" w:hAnsiTheme="majorHAnsi"/>
          <w:sz w:val="22"/>
        </w:rPr>
        <w:footnoteReference w:id="1"/>
      </w:r>
      <w:r w:rsidRPr="00DD386F">
        <w:rPr>
          <w:rFonts w:asciiTheme="majorHAnsi" w:hAnsiTheme="majorHAnsi"/>
          <w:sz w:val="22"/>
        </w:rPr>
        <w:t xml:space="preserve"> de las viviendas de emergencia o “mediaguas”;  la falsa ayuda humanitaria</w:t>
      </w:r>
      <w:r w:rsidRPr="00DD386F">
        <w:rPr>
          <w:rStyle w:val="Refdenotaalpie"/>
          <w:rFonts w:asciiTheme="majorHAnsi" w:hAnsiTheme="majorHAnsi"/>
          <w:sz w:val="22"/>
        </w:rPr>
        <w:footnoteReference w:id="2"/>
      </w:r>
      <w:r w:rsidRPr="00DD386F">
        <w:rPr>
          <w:rFonts w:asciiTheme="majorHAnsi" w:hAnsiTheme="majorHAnsi"/>
          <w:sz w:val="22"/>
        </w:rPr>
        <w:t xml:space="preserve"> ingresada al país por una de las cadenas más grandes de supermercados, pertenecientes a uno de los grupos económicos más podero</w:t>
      </w:r>
      <w:r>
        <w:rPr>
          <w:rFonts w:asciiTheme="majorHAnsi" w:hAnsiTheme="majorHAnsi"/>
          <w:sz w:val="22"/>
        </w:rPr>
        <w:t>ses del país, llamado Cencosud</w:t>
      </w:r>
      <w:r w:rsidRPr="00DD386F">
        <w:rPr>
          <w:rFonts w:asciiTheme="majorHAnsi" w:hAnsiTheme="majorHAnsi"/>
          <w:sz w:val="22"/>
        </w:rPr>
        <w:t>; el sobreprecio pagado por un puente mecano por el Ejercito</w:t>
      </w:r>
      <w:r w:rsidRPr="00DD386F">
        <w:rPr>
          <w:rStyle w:val="Refdenotaalpie"/>
          <w:rFonts w:asciiTheme="majorHAnsi" w:hAnsiTheme="majorHAnsi"/>
          <w:sz w:val="22"/>
        </w:rPr>
        <w:footnoteReference w:id="3"/>
      </w:r>
      <w:r>
        <w:rPr>
          <w:rFonts w:asciiTheme="majorHAnsi" w:hAnsiTheme="majorHAnsi"/>
          <w:sz w:val="22"/>
        </w:rPr>
        <w:t>, entre otros escándalos salidos a la luz pública.</w:t>
      </w:r>
    </w:p>
    <w:p w:rsidR="0008572D" w:rsidRPr="00603892" w:rsidRDefault="0008572D" w:rsidP="0008572D">
      <w:pPr>
        <w:pStyle w:val="Standard"/>
        <w:rPr>
          <w:rFonts w:asciiTheme="majorHAnsi" w:hAnsiTheme="majorHAnsi"/>
          <w:sz w:val="22"/>
        </w:rPr>
      </w:pPr>
      <w:r>
        <w:rPr>
          <w:rFonts w:asciiTheme="majorHAnsi" w:hAnsiTheme="majorHAnsi"/>
          <w:sz w:val="22"/>
        </w:rPr>
        <w:t>E</w:t>
      </w:r>
      <w:r w:rsidRPr="00DD386F">
        <w:rPr>
          <w:rFonts w:asciiTheme="majorHAnsi" w:hAnsiTheme="majorHAnsi"/>
          <w:sz w:val="22"/>
        </w:rPr>
        <w:t>l proceso de reconstrucción</w:t>
      </w:r>
      <w:r>
        <w:rPr>
          <w:rFonts w:asciiTheme="majorHAnsi" w:hAnsiTheme="majorHAnsi"/>
          <w:sz w:val="22"/>
        </w:rPr>
        <w:t xml:space="preserve"> ha sido cuestionado también por los </w:t>
      </w:r>
      <w:r w:rsidRPr="00DD386F">
        <w:rPr>
          <w:rFonts w:asciiTheme="majorHAnsi" w:hAnsiTheme="majorHAnsi"/>
          <w:sz w:val="22"/>
        </w:rPr>
        <w:t xml:space="preserve">planes de reconstrucción realizados por empresas </w:t>
      </w:r>
      <w:r>
        <w:rPr>
          <w:rFonts w:asciiTheme="majorHAnsi" w:hAnsiTheme="majorHAnsi"/>
          <w:sz w:val="22"/>
        </w:rPr>
        <w:t xml:space="preserve">privadas </w:t>
      </w:r>
      <w:r w:rsidRPr="00DD386F">
        <w:rPr>
          <w:rFonts w:asciiTheme="majorHAnsi" w:hAnsiTheme="majorHAnsi"/>
          <w:sz w:val="22"/>
        </w:rPr>
        <w:t>con conflictos de interés</w:t>
      </w:r>
      <w:r>
        <w:rPr>
          <w:rFonts w:asciiTheme="majorHAnsi" w:hAnsiTheme="majorHAnsi"/>
          <w:sz w:val="22"/>
        </w:rPr>
        <w:t xml:space="preserve"> en los territorios y sin licitaciones públicas. Pero quizás el caso más emblemático de relación de complicidad entre el sector público de vivienda y ciudad y el sector privado, ha sido la antigua relación entre el Minvu y la Cámara Chilena de Construcción (CchC). Hay indicios que la CchC en la década de 1960 habría participado en el diseño del Minvu. Así como su protagonismo en la definición de las políticas subsidiarias instaladas desde 1975 hasta hoy, de las cuales las grandes empresas de la construcción organizadas en el CchC han sido unas de las más grandes beneficiarias. El poder y la influencia de la CchC ha quedado en evidencia en el proceso de reconstrucción desde 2010. Presiones políticas secretas al Minvu, para aumentar los “incentivos” a las empresas, que sólo se han llegado a conocer a través de filtraciones o investigaciones de la prensa. </w:t>
      </w:r>
    </w:p>
    <w:p w:rsidR="006D6868" w:rsidRDefault="006D6868" w:rsidP="006D6868">
      <w:pPr>
        <w:pStyle w:val="Standard"/>
        <w:rPr>
          <w:rFonts w:ascii="Calibri" w:hAnsi="Calibri"/>
          <w:b/>
          <w:bCs/>
          <w:lang w:val="es-ES_tradnl"/>
        </w:rPr>
      </w:pPr>
      <w:r>
        <w:rPr>
          <w:rFonts w:ascii="Calibri" w:hAnsi="Calibri"/>
          <w:b/>
          <w:bCs/>
          <w:lang w:val="es-ES_tradnl"/>
        </w:rPr>
        <w:t>La reconstrucción como excusa para erradicar a los pobres de los centros de las ciudades o de los bordes costeros.</w:t>
      </w:r>
    </w:p>
    <w:p w:rsidR="006D6868" w:rsidRDefault="006D6868" w:rsidP="006D68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hAnsiTheme="majorHAnsi" w:cs="Times"/>
          <w:sz w:val="22"/>
          <w:szCs w:val="22"/>
          <w:lang w:val="en-US"/>
        </w:rPr>
      </w:pPr>
      <w:r w:rsidRPr="003D70F3">
        <w:rPr>
          <w:rFonts w:ascii="Calibri" w:hAnsi="Calibri"/>
          <w:bCs/>
          <w:sz w:val="22"/>
        </w:rPr>
        <w:t xml:space="preserve">Unos de los hechos más dramáticos de la </w:t>
      </w:r>
      <w:r>
        <w:rPr>
          <w:rFonts w:ascii="Calibri" w:hAnsi="Calibri"/>
          <w:bCs/>
          <w:sz w:val="22"/>
        </w:rPr>
        <w:t xml:space="preserve">instalación de la política urbana neoliberal hace 30 años debe ser la </w:t>
      </w:r>
      <w:r>
        <w:rPr>
          <w:rFonts w:asciiTheme="majorHAnsi" w:hAnsiTheme="majorHAnsi"/>
          <w:sz w:val="22"/>
          <w:szCs w:val="23"/>
        </w:rPr>
        <w:t>erradicación forzada de más 15</w:t>
      </w:r>
      <w:r w:rsidRPr="000D7942">
        <w:rPr>
          <w:rFonts w:asciiTheme="majorHAnsi" w:hAnsiTheme="majorHAnsi"/>
          <w:sz w:val="22"/>
          <w:szCs w:val="23"/>
        </w:rPr>
        <w:t>0.000 pobladores en Santiago</w:t>
      </w:r>
      <w:r>
        <w:rPr>
          <w:rStyle w:val="Refdenotaalpie"/>
          <w:rFonts w:asciiTheme="majorHAnsi" w:hAnsiTheme="majorHAnsi"/>
          <w:sz w:val="22"/>
          <w:szCs w:val="23"/>
        </w:rPr>
        <w:footnoteReference w:id="4"/>
      </w:r>
      <w:r w:rsidRPr="000D7942">
        <w:rPr>
          <w:rFonts w:asciiTheme="majorHAnsi" w:hAnsiTheme="majorHAnsi"/>
          <w:sz w:val="22"/>
          <w:szCs w:val="23"/>
        </w:rPr>
        <w:t>.</w:t>
      </w:r>
      <w:r>
        <w:rPr>
          <w:rFonts w:asciiTheme="majorHAnsi" w:hAnsiTheme="majorHAnsi"/>
          <w:sz w:val="22"/>
          <w:szCs w:val="23"/>
        </w:rPr>
        <w:t xml:space="preserve"> Esta cifra nos parece conservadora, porque se basa en un estudio de 1984, claramente el alcance de esta política segregadora debe haber afectado a muchos más pobladores. “</w:t>
      </w:r>
      <w:r w:rsidRPr="007A73D9">
        <w:rPr>
          <w:rFonts w:asciiTheme="majorHAnsi" w:hAnsiTheme="majorHAnsi" w:cs="Times"/>
          <w:sz w:val="22"/>
          <w:szCs w:val="22"/>
          <w:lang w:val="en-US"/>
        </w:rPr>
        <w:t>The state, with its monopoly of violence and definitions of legality, plays a crucial role in backing and promoting these processes</w:t>
      </w:r>
      <w:r>
        <w:rPr>
          <w:rFonts w:asciiTheme="majorHAnsi" w:hAnsiTheme="majorHAnsi" w:cs="Times"/>
          <w:sz w:val="22"/>
          <w:szCs w:val="22"/>
          <w:lang w:val="en-US"/>
        </w:rPr>
        <w:t xml:space="preserve">”.(Harvey </w:t>
      </w:r>
      <w:r w:rsidRPr="007A73D9">
        <w:rPr>
          <w:rFonts w:asciiTheme="majorHAnsi" w:hAnsiTheme="majorHAnsi" w:cs="Times"/>
          <w:sz w:val="22"/>
          <w:szCs w:val="22"/>
          <w:lang w:val="en-US"/>
        </w:rPr>
        <w:t>:35)</w:t>
      </w:r>
      <w:r w:rsidRPr="007A73D9">
        <w:rPr>
          <w:rStyle w:val="Refdenotaalpie"/>
          <w:rFonts w:asciiTheme="majorHAnsi" w:hAnsiTheme="majorHAnsi" w:cs="Times"/>
          <w:sz w:val="22"/>
          <w:szCs w:val="22"/>
          <w:lang w:val="en-US"/>
        </w:rPr>
        <w:footnoteReference w:id="5"/>
      </w:r>
    </w:p>
    <w:p w:rsidR="006D6868" w:rsidRPr="000904C6" w:rsidRDefault="006D6868" w:rsidP="006D68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hAnsiTheme="majorHAnsi" w:cs="Times"/>
          <w:sz w:val="22"/>
          <w:szCs w:val="22"/>
          <w:lang w:val="en-US"/>
        </w:rPr>
      </w:pPr>
    </w:p>
    <w:p w:rsidR="006D6868" w:rsidRDefault="006D6868" w:rsidP="007E6717">
      <w:pPr>
        <w:spacing w:beforeLines="1" w:afterLines="1"/>
        <w:rPr>
          <w:rFonts w:asciiTheme="majorHAnsi" w:hAnsiTheme="majorHAnsi" w:cs="Times New Roman"/>
          <w:sz w:val="22"/>
          <w:szCs w:val="20"/>
          <w:lang w:eastAsia="es-ES_tradnl"/>
        </w:rPr>
      </w:pPr>
      <w:r>
        <w:rPr>
          <w:rFonts w:asciiTheme="majorHAnsi" w:hAnsiTheme="majorHAnsi" w:cs="Times New Roman"/>
          <w:sz w:val="22"/>
          <w:szCs w:val="20"/>
          <w:lang w:eastAsia="es-ES_tradnl"/>
        </w:rPr>
        <w:t>Se trató</w:t>
      </w:r>
      <w:r w:rsidRPr="00246B11">
        <w:rPr>
          <w:rFonts w:asciiTheme="majorHAnsi" w:hAnsiTheme="majorHAnsi" w:cs="Times New Roman"/>
          <w:sz w:val="22"/>
          <w:szCs w:val="20"/>
          <w:lang w:eastAsia="es-ES_tradnl"/>
        </w:rPr>
        <w:t xml:space="preserve"> de “erradicaciones, pero con metralleta, fusiles y subiendo a lo</w:t>
      </w:r>
      <w:r>
        <w:rPr>
          <w:rFonts w:asciiTheme="majorHAnsi" w:hAnsiTheme="majorHAnsi" w:cs="Times New Roman"/>
          <w:sz w:val="22"/>
          <w:szCs w:val="20"/>
          <w:lang w:eastAsia="es-ES_tradnl"/>
        </w:rPr>
        <w:t xml:space="preserve">s pobladores a camiones. Hasta </w:t>
      </w:r>
      <w:r w:rsidRPr="00246B11">
        <w:rPr>
          <w:rFonts w:asciiTheme="majorHAnsi" w:hAnsiTheme="majorHAnsi" w:cs="Times New Roman"/>
          <w:sz w:val="22"/>
          <w:szCs w:val="20"/>
          <w:lang w:eastAsia="es-ES_tradnl"/>
        </w:rPr>
        <w:t xml:space="preserve">1973 y luego también, las comunas que más campamentos tenían o asentamientos informales, eran Las Condes, Santiago Centro y Quinta Normal. Hubo una erradicación planificada, una política de Estado de expulsión, como el </w:t>
      </w:r>
      <w:r>
        <w:rPr>
          <w:rFonts w:asciiTheme="majorHAnsi" w:hAnsiTheme="majorHAnsi" w:cs="Times New Roman"/>
          <w:sz w:val="22"/>
          <w:szCs w:val="20"/>
          <w:lang w:eastAsia="es-ES_tradnl"/>
        </w:rPr>
        <w:t>“</w:t>
      </w:r>
      <w:r w:rsidRPr="00246B11">
        <w:rPr>
          <w:rFonts w:asciiTheme="majorHAnsi" w:hAnsiTheme="majorHAnsi" w:cs="Times New Roman"/>
          <w:sz w:val="22"/>
          <w:szCs w:val="20"/>
          <w:lang w:eastAsia="es-ES_tradnl"/>
        </w:rPr>
        <w:t>apartheid sudafricano</w:t>
      </w:r>
      <w:r>
        <w:rPr>
          <w:rFonts w:asciiTheme="majorHAnsi" w:hAnsiTheme="majorHAnsi" w:cs="Times New Roman"/>
          <w:sz w:val="22"/>
          <w:szCs w:val="20"/>
          <w:lang w:eastAsia="es-ES_tradnl"/>
        </w:rPr>
        <w:t>”</w:t>
      </w:r>
      <w:r w:rsidRPr="00246B11">
        <w:rPr>
          <w:rFonts w:asciiTheme="majorHAnsi" w:hAnsiTheme="majorHAnsi" w:cs="Times New Roman"/>
          <w:sz w:val="22"/>
          <w:szCs w:val="20"/>
          <w:lang w:eastAsia="es-ES_tradnl"/>
        </w:rPr>
        <w:t>, de sacar a los pobres de algunos sectores de la ciudad para “limpiar” y crear las condiciones para el mercado de suelo, y que así se generaran todos los desarrollos inmobiliarios que vinieron después y eso trae como resultado la “guetización” o construcción de toda la periferia pobre del sur de Santiago: La Granja, La Pintana, Puente Alto, La Florida, San Bernardo, Maipú y todo el norte y norponiente de Santiago: Quilicura, Conchalí, Renca, Cerronavia...Estos cambios legales, estructurales y políticos que empiezan desde 1979 en adelante, se ven reflejados física y socialmente en la ciudad…es el origen de los altos niveles de segregación que tenemos hoy en Santiago”.</w:t>
      </w:r>
      <w:r>
        <w:rPr>
          <w:rFonts w:asciiTheme="majorHAnsi" w:hAnsiTheme="majorHAnsi" w:cs="Times New Roman"/>
          <w:sz w:val="22"/>
          <w:szCs w:val="20"/>
          <w:lang w:eastAsia="es-ES_tradnl"/>
        </w:rPr>
        <w:t xml:space="preserve"> (Pulgar, 2010)</w:t>
      </w:r>
      <w:r>
        <w:rPr>
          <w:rStyle w:val="Refdenotaalpie"/>
          <w:rFonts w:asciiTheme="majorHAnsi" w:hAnsiTheme="majorHAnsi" w:cs="Times New Roman"/>
          <w:sz w:val="22"/>
          <w:szCs w:val="20"/>
          <w:lang w:eastAsia="es-ES_tradnl"/>
        </w:rPr>
        <w:footnoteReference w:id="6"/>
      </w:r>
    </w:p>
    <w:p w:rsidR="006D6868" w:rsidRPr="00D269D7" w:rsidRDefault="006D6868" w:rsidP="007E6717">
      <w:pPr>
        <w:spacing w:beforeLines="1" w:afterLines="1"/>
        <w:rPr>
          <w:rFonts w:asciiTheme="majorHAnsi" w:hAnsiTheme="majorHAnsi" w:cs="Times New Roman"/>
          <w:sz w:val="22"/>
          <w:szCs w:val="20"/>
          <w:lang w:eastAsia="es-ES_tradnl"/>
        </w:rPr>
      </w:pPr>
    </w:p>
    <w:p w:rsidR="006D6868" w:rsidRPr="008B3772" w:rsidRDefault="006D6868" w:rsidP="006D6868">
      <w:pPr>
        <w:pStyle w:val="Standard"/>
        <w:rPr>
          <w:rFonts w:asciiTheme="majorHAnsi" w:hAnsiTheme="majorHAnsi"/>
          <w:sz w:val="22"/>
          <w:szCs w:val="23"/>
        </w:rPr>
      </w:pPr>
      <w:r w:rsidRPr="00D269D7">
        <w:rPr>
          <w:rFonts w:asciiTheme="majorHAnsi" w:hAnsiTheme="majorHAnsi"/>
          <w:sz w:val="22"/>
          <w:szCs w:val="23"/>
        </w:rPr>
        <w:t>“Uno de los criterios para erradicar fue el de las potencialidades inmobiliarias de los lugares que se habían ocupado: sobre esa base se despejaron grandes zonas, sentándose las bases para un desarrollo inmobiliario que abarca desde los años noventa a la fecha. Otro de los criterios de las erradicaciones fue reordenar el espacio político urbano y dispersar a los pobladores, que habían sido un actor social y movilizador importante</w:t>
      </w:r>
      <w:r>
        <w:rPr>
          <w:rFonts w:asciiTheme="majorHAnsi" w:hAnsiTheme="majorHAnsi"/>
          <w:sz w:val="22"/>
          <w:szCs w:val="23"/>
        </w:rPr>
        <w:t>…E</w:t>
      </w:r>
      <w:r w:rsidRPr="00D269D7">
        <w:rPr>
          <w:rFonts w:asciiTheme="majorHAnsi" w:hAnsiTheme="majorHAnsi"/>
          <w:sz w:val="22"/>
          <w:szCs w:val="23"/>
        </w:rPr>
        <w:t xml:space="preserve">rradicar no significaba trasladar a todos lo pobladores a una nueva </w:t>
      </w:r>
      <w:r w:rsidRPr="008B3772">
        <w:rPr>
          <w:rFonts w:asciiTheme="majorHAnsi" w:hAnsiTheme="majorHAnsi"/>
          <w:sz w:val="22"/>
          <w:szCs w:val="23"/>
        </w:rPr>
        <w:t>localización, sino dispersarlos en distint</w:t>
      </w:r>
      <w:r>
        <w:rPr>
          <w:rFonts w:asciiTheme="majorHAnsi" w:hAnsiTheme="majorHAnsi"/>
          <w:sz w:val="22"/>
          <w:szCs w:val="23"/>
        </w:rPr>
        <w:t>os lugares de la ciudad”. (Rodrí</w:t>
      </w:r>
      <w:r w:rsidRPr="008B3772">
        <w:rPr>
          <w:rFonts w:asciiTheme="majorHAnsi" w:hAnsiTheme="majorHAnsi"/>
          <w:sz w:val="22"/>
          <w:szCs w:val="23"/>
        </w:rPr>
        <w:t>guez, 2009)</w:t>
      </w:r>
    </w:p>
    <w:p w:rsidR="006D6868" w:rsidRPr="00BE74E0" w:rsidRDefault="006D6868" w:rsidP="006D6868">
      <w:pPr>
        <w:pStyle w:val="Standard"/>
        <w:rPr>
          <w:rFonts w:asciiTheme="majorHAnsi" w:hAnsiTheme="majorHAnsi"/>
          <w:sz w:val="22"/>
          <w:szCs w:val="23"/>
        </w:rPr>
      </w:pPr>
      <w:r w:rsidRPr="008B3772">
        <w:rPr>
          <w:rFonts w:asciiTheme="majorHAnsi" w:hAnsiTheme="majorHAnsi"/>
          <w:sz w:val="22"/>
          <w:szCs w:val="23"/>
        </w:rPr>
        <w:t>Una parte importante de los “erradicados” fue “beneficiario” de las viviendas sociales subsidiadas, “la localización de estas casas de 24m2 en comunas perifericas de bajos recursos agregan a la pobreza y hacinamiento, el desarraigo y el aislamiento”. Otro grupo ni siquiera recibió vivienda y fueron abandonados en sitios eriazos o canchas de fútbol de la periferia donde debieron reconstruir sus campamentos. En muchos casos los habitantes de un mismo campamentos fueron trasladados a di</w:t>
      </w:r>
      <w:r>
        <w:rPr>
          <w:rFonts w:asciiTheme="majorHAnsi" w:hAnsiTheme="majorHAnsi"/>
          <w:sz w:val="22"/>
          <w:szCs w:val="23"/>
        </w:rPr>
        <w:t>ferentes puntos geográ</w:t>
      </w:r>
      <w:r w:rsidRPr="008B3772">
        <w:rPr>
          <w:rFonts w:asciiTheme="majorHAnsi" w:hAnsiTheme="majorHAnsi"/>
          <w:sz w:val="22"/>
          <w:szCs w:val="23"/>
        </w:rPr>
        <w:t>ficos, ubicados a grandes distancias, demostrando así el objetivo de “atomizar y desarticular a los pobladores”(Hechos Urbanos, 1984).</w:t>
      </w:r>
      <w:r w:rsidRPr="008B3772">
        <w:rPr>
          <w:rStyle w:val="Refdenotaalpie"/>
          <w:rFonts w:asciiTheme="majorHAnsi" w:hAnsiTheme="majorHAnsi"/>
          <w:sz w:val="22"/>
          <w:szCs w:val="23"/>
        </w:rPr>
        <w:footnoteReference w:id="7"/>
      </w:r>
      <w:r w:rsidRPr="00080A1E">
        <w:rPr>
          <w:rFonts w:asciiTheme="majorHAnsi" w:hAnsiTheme="majorHAnsi"/>
          <w:sz w:val="22"/>
          <w:lang w:val="fr-FR"/>
        </w:rPr>
        <w:t>« Ce que l’accumulation par dépossession permet, c’est la libération d’un ensemble d’actifs (force de travail comprise) à  un coût très réduit (dans certains cas é</w:t>
      </w:r>
      <w:r>
        <w:rPr>
          <w:rFonts w:asciiTheme="majorHAnsi" w:hAnsiTheme="majorHAnsi"/>
          <w:sz w:val="22"/>
          <w:lang w:val="fr-FR"/>
        </w:rPr>
        <w:t xml:space="preserve">gal a </w:t>
      </w:r>
      <w:r w:rsidRPr="00080A1E">
        <w:rPr>
          <w:rFonts w:asciiTheme="majorHAnsi" w:hAnsiTheme="majorHAnsi"/>
          <w:sz w:val="22"/>
          <w:lang w:val="fr-FR"/>
        </w:rPr>
        <w:t>zé</w:t>
      </w:r>
      <w:r>
        <w:rPr>
          <w:rFonts w:asciiTheme="majorHAnsi" w:hAnsiTheme="majorHAnsi"/>
          <w:sz w:val="22"/>
          <w:lang w:val="fr-FR"/>
        </w:rPr>
        <w:t>ro)</w:t>
      </w:r>
      <w:r w:rsidRPr="00080A1E">
        <w:rPr>
          <w:rFonts w:asciiTheme="majorHAnsi" w:hAnsiTheme="majorHAnsi"/>
          <w:sz w:val="22"/>
          <w:lang w:val="fr-FR"/>
        </w:rPr>
        <w:t>»</w:t>
      </w:r>
      <w:r>
        <w:rPr>
          <w:rFonts w:asciiTheme="majorHAnsi" w:hAnsiTheme="majorHAnsi"/>
          <w:sz w:val="22"/>
          <w:lang w:val="fr-FR"/>
        </w:rPr>
        <w:t xml:space="preserve">.  </w:t>
      </w:r>
      <w:r w:rsidRPr="00080A1E">
        <w:rPr>
          <w:rFonts w:asciiTheme="majorHAnsi" w:hAnsiTheme="majorHAnsi"/>
          <w:bCs/>
          <w:sz w:val="22"/>
          <w:lang w:val="fr-FR"/>
        </w:rPr>
        <w:t>(Harvey, 2010:177)</w:t>
      </w:r>
      <w:r w:rsidRPr="00080A1E">
        <w:rPr>
          <w:rStyle w:val="Refdenotaalpie"/>
          <w:rFonts w:asciiTheme="majorHAnsi" w:hAnsiTheme="majorHAnsi"/>
          <w:bCs/>
          <w:sz w:val="22"/>
          <w:lang w:val="fr-FR"/>
        </w:rPr>
        <w:footnoteReference w:id="8"/>
      </w:r>
      <w:r w:rsidRPr="00080A1E">
        <w:rPr>
          <w:rFonts w:asciiTheme="majorHAnsi" w:hAnsiTheme="majorHAnsi"/>
          <w:sz w:val="22"/>
          <w:lang w:val="fr-FR"/>
        </w:rPr>
        <w:t xml:space="preserve"> </w:t>
      </w:r>
    </w:p>
    <w:p w:rsidR="006D6868" w:rsidRPr="00A27AD0" w:rsidRDefault="006D6868" w:rsidP="006D6868">
      <w:pPr>
        <w:rPr>
          <w:rFonts w:asciiTheme="majorHAnsi" w:hAnsiTheme="majorHAnsi"/>
          <w:sz w:val="22"/>
        </w:rPr>
      </w:pPr>
      <w:r w:rsidRPr="00A27AD0">
        <w:rPr>
          <w:rFonts w:asciiTheme="majorHAnsi" w:hAnsiTheme="majorHAnsi"/>
          <w:sz w:val="22"/>
        </w:rPr>
        <w:t xml:space="preserve">Hoy </w:t>
      </w:r>
      <w:r w:rsidR="00A9518B" w:rsidRPr="00A27AD0">
        <w:rPr>
          <w:rFonts w:asciiTheme="majorHAnsi" w:hAnsiTheme="majorHAnsi"/>
          <w:sz w:val="22"/>
        </w:rPr>
        <w:t>en pleno proceso de reconstrucción vemos como estos procesos de expulsión de los pobladores de la ciudad se están replicando. L</w:t>
      </w:r>
      <w:r w:rsidRPr="00A27AD0">
        <w:rPr>
          <w:rFonts w:asciiTheme="majorHAnsi" w:hAnsiTheme="majorHAnsi"/>
          <w:sz w:val="22"/>
        </w:rPr>
        <w:t xml:space="preserve">os casos más emblemáticos en </w:t>
      </w:r>
      <w:r w:rsidR="00A9518B" w:rsidRPr="00A27AD0">
        <w:rPr>
          <w:rFonts w:asciiTheme="majorHAnsi" w:hAnsiTheme="majorHAnsi"/>
          <w:sz w:val="22"/>
        </w:rPr>
        <w:t>la región d</w:t>
      </w:r>
      <w:r w:rsidRPr="00A27AD0">
        <w:rPr>
          <w:rFonts w:asciiTheme="majorHAnsi" w:hAnsiTheme="majorHAnsi"/>
          <w:sz w:val="22"/>
        </w:rPr>
        <w:t xml:space="preserve">el </w:t>
      </w:r>
      <w:r w:rsidR="00A9518B" w:rsidRPr="00A27AD0">
        <w:rPr>
          <w:rFonts w:asciiTheme="majorHAnsi" w:hAnsiTheme="majorHAnsi"/>
          <w:sz w:val="22"/>
        </w:rPr>
        <w:t>Bíobío</w:t>
      </w:r>
      <w:r w:rsidRPr="00A27AD0">
        <w:rPr>
          <w:rFonts w:asciiTheme="majorHAnsi" w:hAnsiTheme="majorHAnsi"/>
          <w:sz w:val="22"/>
        </w:rPr>
        <w:t xml:space="preserve"> son </w:t>
      </w:r>
      <w:r w:rsidR="00A9518B" w:rsidRPr="00A27AD0">
        <w:rPr>
          <w:rFonts w:asciiTheme="majorHAnsi" w:hAnsiTheme="majorHAnsi"/>
          <w:sz w:val="22"/>
        </w:rPr>
        <w:t>las poblaciones Villa Futuro de Chigu</w:t>
      </w:r>
      <w:r w:rsidR="00A27AD0">
        <w:rPr>
          <w:rFonts w:asciiTheme="majorHAnsi" w:hAnsiTheme="majorHAnsi"/>
          <w:sz w:val="22"/>
        </w:rPr>
        <w:t>a</w:t>
      </w:r>
      <w:r w:rsidR="00A9518B" w:rsidRPr="00A27AD0">
        <w:rPr>
          <w:rFonts w:asciiTheme="majorHAnsi" w:hAnsiTheme="majorHAnsi"/>
          <w:sz w:val="22"/>
        </w:rPr>
        <w:t>yante y Aurora de Chile de Concepció</w:t>
      </w:r>
      <w:r w:rsidR="00A27AD0">
        <w:rPr>
          <w:rFonts w:asciiTheme="majorHAnsi" w:hAnsiTheme="majorHAnsi"/>
          <w:sz w:val="22"/>
        </w:rPr>
        <w:t>n. Un</w:t>
      </w:r>
      <w:r w:rsidR="00A9518B" w:rsidRPr="00A27AD0">
        <w:rPr>
          <w:rFonts w:asciiTheme="majorHAnsi" w:hAnsiTheme="majorHAnsi"/>
          <w:sz w:val="22"/>
        </w:rPr>
        <w:t xml:space="preserve"> agravante para </w:t>
      </w:r>
      <w:r w:rsidR="00A27AD0">
        <w:rPr>
          <w:rFonts w:asciiTheme="majorHAnsi" w:hAnsiTheme="majorHAnsi"/>
          <w:sz w:val="22"/>
        </w:rPr>
        <w:t xml:space="preserve">el caso de </w:t>
      </w:r>
      <w:r w:rsidR="00A9518B" w:rsidRPr="00A27AD0">
        <w:rPr>
          <w:rFonts w:asciiTheme="majorHAnsi" w:hAnsiTheme="majorHAnsi"/>
          <w:sz w:val="22"/>
        </w:rPr>
        <w:t xml:space="preserve">ambas es que no fueron directamente afectadas por el terremoto (a excepción de un edificio de la Villa Futuro), sino que se trata de “falsos” damnificados del 27F, </w:t>
      </w:r>
      <w:r w:rsidR="00175704">
        <w:rPr>
          <w:rFonts w:asciiTheme="majorHAnsi" w:hAnsiTheme="majorHAnsi"/>
          <w:sz w:val="22"/>
        </w:rPr>
        <w:t>escándalo</w:t>
      </w:r>
      <w:r w:rsidR="00A9518B" w:rsidRPr="00A27AD0">
        <w:rPr>
          <w:rFonts w:asciiTheme="majorHAnsi" w:hAnsiTheme="majorHAnsi"/>
          <w:sz w:val="22"/>
        </w:rPr>
        <w:t xml:space="preserve"> que le costó el puesto a la ex Intendenta de la región.  Lo paradójico es que hoy estos pobladores son damnificados de la propia política habitacional</w:t>
      </w:r>
      <w:r w:rsidR="00AF6F22" w:rsidRPr="00A27AD0">
        <w:rPr>
          <w:rFonts w:asciiTheme="majorHAnsi" w:hAnsiTheme="majorHAnsi"/>
          <w:sz w:val="22"/>
        </w:rPr>
        <w:t xml:space="preserve"> y </w:t>
      </w:r>
      <w:r w:rsidR="00175704">
        <w:rPr>
          <w:rFonts w:asciiTheme="majorHAnsi" w:hAnsiTheme="majorHAnsi"/>
          <w:sz w:val="22"/>
        </w:rPr>
        <w:t xml:space="preserve">de </w:t>
      </w:r>
      <w:r w:rsidR="00AF6F22" w:rsidRPr="00A27AD0">
        <w:rPr>
          <w:rFonts w:asciiTheme="majorHAnsi" w:hAnsiTheme="majorHAnsi"/>
          <w:sz w:val="22"/>
        </w:rPr>
        <w:t xml:space="preserve">la </w:t>
      </w:r>
      <w:r w:rsidR="00175704" w:rsidRPr="00A27AD0">
        <w:rPr>
          <w:rFonts w:asciiTheme="majorHAnsi" w:hAnsiTheme="majorHAnsi"/>
          <w:sz w:val="22"/>
        </w:rPr>
        <w:t>especulación</w:t>
      </w:r>
      <w:r w:rsidR="00A9518B" w:rsidRPr="00A27AD0">
        <w:rPr>
          <w:rFonts w:asciiTheme="majorHAnsi" w:hAnsiTheme="majorHAnsi"/>
          <w:sz w:val="22"/>
        </w:rPr>
        <w:t>, dado que han comenzado a demoler sus barrios.</w:t>
      </w:r>
    </w:p>
    <w:p w:rsidR="00AF6F22" w:rsidRPr="00A27AD0" w:rsidRDefault="006D6868" w:rsidP="00AF6F22">
      <w:pPr>
        <w:rPr>
          <w:rFonts w:asciiTheme="majorHAnsi" w:hAnsiTheme="majorHAnsi"/>
          <w:sz w:val="22"/>
        </w:rPr>
      </w:pPr>
      <w:r w:rsidRPr="00A27AD0">
        <w:rPr>
          <w:rFonts w:asciiTheme="majorHAnsi" w:hAnsiTheme="majorHAnsi"/>
          <w:sz w:val="22"/>
        </w:rPr>
        <w:t>Además d</w:t>
      </w:r>
      <w:r w:rsidR="00AF6F22" w:rsidRPr="00A27AD0">
        <w:rPr>
          <w:rFonts w:asciiTheme="majorHAnsi" w:hAnsiTheme="majorHAnsi"/>
          <w:sz w:val="22"/>
        </w:rPr>
        <w:t>e los casos de los centros histó</w:t>
      </w:r>
      <w:r w:rsidRPr="00A27AD0">
        <w:rPr>
          <w:rFonts w:asciiTheme="majorHAnsi" w:hAnsiTheme="majorHAnsi"/>
          <w:sz w:val="22"/>
        </w:rPr>
        <w:t>ricos de Talca</w:t>
      </w:r>
      <w:r w:rsidR="00AF6F22" w:rsidRPr="00A27AD0">
        <w:rPr>
          <w:rFonts w:asciiTheme="majorHAnsi" w:hAnsiTheme="majorHAnsi"/>
          <w:sz w:val="22"/>
        </w:rPr>
        <w:t xml:space="preserve"> y Curicó, así como</w:t>
      </w:r>
      <w:r w:rsidRPr="00A27AD0">
        <w:rPr>
          <w:rFonts w:asciiTheme="majorHAnsi" w:hAnsiTheme="majorHAnsi"/>
          <w:sz w:val="22"/>
        </w:rPr>
        <w:t xml:space="preserve"> los bordes costeros de Co</w:t>
      </w:r>
      <w:r w:rsidR="00AF6F22" w:rsidRPr="00A27AD0">
        <w:rPr>
          <w:rFonts w:asciiTheme="majorHAnsi" w:hAnsiTheme="majorHAnsi"/>
          <w:sz w:val="22"/>
        </w:rPr>
        <w:t>n</w:t>
      </w:r>
      <w:r w:rsidRPr="00A27AD0">
        <w:rPr>
          <w:rFonts w:asciiTheme="majorHAnsi" w:hAnsiTheme="majorHAnsi"/>
          <w:sz w:val="22"/>
        </w:rPr>
        <w:t>stitución y Dichato, aunque en menor medida.</w:t>
      </w:r>
      <w:r w:rsidR="00AF6F22" w:rsidRPr="00A27AD0">
        <w:rPr>
          <w:rFonts w:asciiTheme="majorHAnsi" w:hAnsiTheme="majorHAnsi"/>
          <w:sz w:val="22"/>
        </w:rPr>
        <w:t xml:space="preserve"> En el caso de Talca impresiona visitar los barrios del centro y darse cuenta como a 3 años del 27F en los terrenos que habitaban pobladores</w:t>
      </w:r>
      <w:r w:rsidR="00175704">
        <w:rPr>
          <w:rFonts w:asciiTheme="majorHAnsi" w:hAnsiTheme="majorHAnsi"/>
          <w:sz w:val="22"/>
        </w:rPr>
        <w:t xml:space="preserve"> empobrecidos, pero</w:t>
      </w:r>
      <w:r w:rsidR="00AF6F22" w:rsidRPr="00A27AD0">
        <w:rPr>
          <w:rFonts w:asciiTheme="majorHAnsi" w:hAnsiTheme="majorHAnsi"/>
          <w:sz w:val="22"/>
        </w:rPr>
        <w:t xml:space="preserve"> bien localizados</w:t>
      </w:r>
      <w:r w:rsidR="00175704">
        <w:rPr>
          <w:rFonts w:asciiTheme="majorHAnsi" w:hAnsiTheme="majorHAnsi"/>
          <w:sz w:val="22"/>
        </w:rPr>
        <w:t>,</w:t>
      </w:r>
      <w:r w:rsidR="00AF6F22" w:rsidRPr="00A27AD0">
        <w:rPr>
          <w:rFonts w:asciiTheme="majorHAnsi" w:hAnsiTheme="majorHAnsi"/>
          <w:sz w:val="22"/>
        </w:rPr>
        <w:t xml:space="preserve"> empiezan a emerger torres de departamentos y condominios de casas de alto valor. </w:t>
      </w:r>
      <w:r w:rsidR="00175704" w:rsidRPr="00A27AD0">
        <w:rPr>
          <w:rFonts w:asciiTheme="majorHAnsi" w:hAnsiTheme="majorHAnsi"/>
          <w:sz w:val="22"/>
        </w:rPr>
        <w:t>Desarrollándose</w:t>
      </w:r>
      <w:r w:rsidR="00AF6F22" w:rsidRPr="00A27AD0">
        <w:rPr>
          <w:rFonts w:asciiTheme="majorHAnsi" w:hAnsiTheme="majorHAnsi"/>
          <w:sz w:val="22"/>
        </w:rPr>
        <w:t xml:space="preserve"> un proceso conocido como gentrificación, es decir, cambio del nivel </w:t>
      </w:r>
      <w:r w:rsidR="00175704" w:rsidRPr="00A27AD0">
        <w:rPr>
          <w:rFonts w:asciiTheme="majorHAnsi" w:hAnsiTheme="majorHAnsi"/>
          <w:sz w:val="22"/>
        </w:rPr>
        <w:t>socioeconómico</w:t>
      </w:r>
      <w:r w:rsidR="00AF6F22" w:rsidRPr="00A27AD0">
        <w:rPr>
          <w:rFonts w:asciiTheme="majorHAnsi" w:hAnsiTheme="majorHAnsi"/>
          <w:sz w:val="22"/>
        </w:rPr>
        <w:t xml:space="preserve"> de los habitantes, pero en este caso facilitado por el terremoto y la no-reconstrucción.</w:t>
      </w:r>
    </w:p>
    <w:p w:rsidR="008A23EF" w:rsidRPr="00A27AD0" w:rsidRDefault="00A27AD0" w:rsidP="00A27AD0">
      <w:pPr>
        <w:rPr>
          <w:rFonts w:asciiTheme="majorHAnsi" w:hAnsiTheme="majorHAnsi"/>
          <w:sz w:val="22"/>
        </w:rPr>
      </w:pPr>
      <w:r w:rsidRPr="00A27AD0">
        <w:rPr>
          <w:rFonts w:asciiTheme="majorHAnsi" w:hAnsiTheme="majorHAnsi"/>
          <w:sz w:val="22"/>
        </w:rPr>
        <w:t xml:space="preserve">Vemos entonces como se replica la </w:t>
      </w:r>
      <w:r w:rsidR="008A23EF" w:rsidRPr="00A27AD0">
        <w:rPr>
          <w:rFonts w:asciiTheme="majorHAnsi" w:hAnsiTheme="majorHAnsi"/>
          <w:sz w:val="22"/>
        </w:rPr>
        <w:t xml:space="preserve">política </w:t>
      </w:r>
      <w:r w:rsidRPr="00A27AD0">
        <w:rPr>
          <w:rFonts w:asciiTheme="majorHAnsi" w:hAnsiTheme="majorHAnsi"/>
          <w:sz w:val="22"/>
        </w:rPr>
        <w:t>de vivienda subsidiaria, que expulsa a los po</w:t>
      </w:r>
      <w:r w:rsidR="00175704">
        <w:rPr>
          <w:rFonts w:asciiTheme="majorHAnsi" w:hAnsiTheme="majorHAnsi"/>
          <w:sz w:val="22"/>
        </w:rPr>
        <w:t xml:space="preserve">bres a las periferias y genera </w:t>
      </w:r>
      <w:r w:rsidRPr="00A27AD0">
        <w:rPr>
          <w:rFonts w:asciiTheme="majorHAnsi" w:hAnsiTheme="majorHAnsi"/>
          <w:sz w:val="22"/>
        </w:rPr>
        <w:t xml:space="preserve">ciudades segregadas, dejando a los pobladores afectados </w:t>
      </w:r>
      <w:r w:rsidR="008A23EF" w:rsidRPr="00A27AD0">
        <w:rPr>
          <w:rFonts w:asciiTheme="majorHAnsi" w:hAnsiTheme="majorHAnsi"/>
          <w:sz w:val="22"/>
        </w:rPr>
        <w:t>desarraigados d</w:t>
      </w:r>
      <w:r w:rsidRPr="00A27AD0">
        <w:rPr>
          <w:rFonts w:asciiTheme="majorHAnsi" w:hAnsiTheme="majorHAnsi"/>
          <w:sz w:val="22"/>
        </w:rPr>
        <w:t>e sus</w:t>
      </w:r>
      <w:r w:rsidR="008A23EF" w:rsidRPr="00A27AD0">
        <w:rPr>
          <w:rFonts w:asciiTheme="majorHAnsi" w:hAnsiTheme="majorHAnsi"/>
          <w:sz w:val="22"/>
        </w:rPr>
        <w:t xml:space="preserve"> lugares d</w:t>
      </w:r>
      <w:r w:rsidRPr="00A27AD0">
        <w:rPr>
          <w:rFonts w:asciiTheme="majorHAnsi" w:hAnsiTheme="majorHAnsi"/>
          <w:sz w:val="22"/>
        </w:rPr>
        <w:t xml:space="preserve">e origen, donde mantenían redes y tejidos sociales, además de poder acceder a servicios públicos e </w:t>
      </w:r>
      <w:r w:rsidR="00175704" w:rsidRPr="00A27AD0">
        <w:rPr>
          <w:rFonts w:asciiTheme="majorHAnsi" w:hAnsiTheme="majorHAnsi"/>
          <w:sz w:val="22"/>
        </w:rPr>
        <w:t>infraestructura</w:t>
      </w:r>
      <w:r w:rsidRPr="00A27AD0">
        <w:rPr>
          <w:rFonts w:asciiTheme="majorHAnsi" w:hAnsiTheme="majorHAnsi"/>
          <w:sz w:val="22"/>
        </w:rPr>
        <w:t xml:space="preserve"> inexistente en las periferias. Al parecer los “d</w:t>
      </w:r>
      <w:r w:rsidR="008A23EF" w:rsidRPr="00A27AD0">
        <w:rPr>
          <w:rFonts w:asciiTheme="majorHAnsi" w:hAnsiTheme="majorHAnsi"/>
          <w:sz w:val="22"/>
        </w:rPr>
        <w:t>esastres socio</w:t>
      </w:r>
      <w:r w:rsidRPr="00A27AD0">
        <w:rPr>
          <w:rFonts w:asciiTheme="majorHAnsi" w:hAnsiTheme="majorHAnsi"/>
          <w:sz w:val="22"/>
        </w:rPr>
        <w:t>-naturales</w:t>
      </w:r>
      <w:r w:rsidR="00175704">
        <w:rPr>
          <w:rFonts w:asciiTheme="majorHAnsi" w:hAnsiTheme="majorHAnsi"/>
          <w:sz w:val="22"/>
        </w:rPr>
        <w:t>”</w:t>
      </w:r>
      <w:r w:rsidRPr="00A27AD0">
        <w:rPr>
          <w:rFonts w:asciiTheme="majorHAnsi" w:hAnsiTheme="majorHAnsi"/>
          <w:sz w:val="22"/>
        </w:rPr>
        <w:t xml:space="preserve"> como</w:t>
      </w:r>
      <w:r w:rsidR="008A23EF" w:rsidRPr="00A27AD0">
        <w:rPr>
          <w:rFonts w:asciiTheme="majorHAnsi" w:hAnsiTheme="majorHAnsi"/>
          <w:sz w:val="22"/>
        </w:rPr>
        <w:t xml:space="preserve"> maremotos, terremotos</w:t>
      </w:r>
      <w:r w:rsidRPr="00A27AD0">
        <w:rPr>
          <w:rFonts w:asciiTheme="majorHAnsi" w:hAnsiTheme="majorHAnsi"/>
          <w:sz w:val="22"/>
        </w:rPr>
        <w:t xml:space="preserve"> o </w:t>
      </w:r>
      <w:r w:rsidR="008A23EF" w:rsidRPr="00A27AD0">
        <w:rPr>
          <w:rFonts w:asciiTheme="majorHAnsi" w:hAnsiTheme="majorHAnsi"/>
          <w:sz w:val="22"/>
        </w:rPr>
        <w:t>incendios se ut</w:t>
      </w:r>
      <w:r w:rsidRPr="00A27AD0">
        <w:rPr>
          <w:rFonts w:asciiTheme="majorHAnsi" w:hAnsiTheme="majorHAnsi"/>
          <w:sz w:val="22"/>
        </w:rPr>
        <w:t>i</w:t>
      </w:r>
      <w:r w:rsidR="008A23EF" w:rsidRPr="00A27AD0">
        <w:rPr>
          <w:rFonts w:asciiTheme="majorHAnsi" w:hAnsiTheme="majorHAnsi"/>
          <w:sz w:val="22"/>
        </w:rPr>
        <w:t>lizan como oportunidades para "limpiar" terrenos</w:t>
      </w:r>
      <w:r w:rsidRPr="00A27AD0">
        <w:rPr>
          <w:rFonts w:asciiTheme="majorHAnsi" w:hAnsiTheme="majorHAnsi"/>
          <w:sz w:val="22"/>
        </w:rPr>
        <w:t xml:space="preserve"> de sus habitantes originales</w:t>
      </w:r>
      <w:r w:rsidR="008A23EF" w:rsidRPr="00A27AD0">
        <w:rPr>
          <w:rFonts w:asciiTheme="majorHAnsi" w:hAnsiTheme="majorHAnsi"/>
          <w:sz w:val="22"/>
        </w:rPr>
        <w:t xml:space="preserve"> y darles plusvalías</w:t>
      </w:r>
      <w:r w:rsidRPr="00A27AD0">
        <w:rPr>
          <w:rFonts w:asciiTheme="majorHAnsi" w:hAnsiTheme="majorHAnsi"/>
          <w:sz w:val="22"/>
        </w:rPr>
        <w:t xml:space="preserve"> para el mercad</w:t>
      </w:r>
      <w:r w:rsidR="00175704">
        <w:rPr>
          <w:rFonts w:asciiTheme="majorHAnsi" w:hAnsiTheme="majorHAnsi"/>
          <w:sz w:val="22"/>
        </w:rPr>
        <w:t>o inmobiliario. Esto se ve refle</w:t>
      </w:r>
      <w:r w:rsidRPr="00A27AD0">
        <w:rPr>
          <w:rFonts w:asciiTheme="majorHAnsi" w:hAnsiTheme="majorHAnsi"/>
          <w:sz w:val="22"/>
        </w:rPr>
        <w:t>jado en las mismas declaraciones del Ministro de Vivienda, quién destaca como un logro de la reconstrucción</w:t>
      </w:r>
      <w:r w:rsidR="008A23EF" w:rsidRPr="00A27AD0">
        <w:rPr>
          <w:rFonts w:asciiTheme="majorHAnsi" w:hAnsiTheme="majorHAnsi"/>
          <w:sz w:val="22"/>
        </w:rPr>
        <w:t xml:space="preserve"> "la vitalidad del sector privado"</w:t>
      </w:r>
      <w:r w:rsidRPr="00A27AD0">
        <w:rPr>
          <w:rFonts w:asciiTheme="majorHAnsi" w:hAnsiTheme="majorHAnsi"/>
          <w:sz w:val="22"/>
        </w:rPr>
        <w:t xml:space="preserve">, pero a costa de los de siempre, los pobres de la ciudad. </w:t>
      </w:r>
    </w:p>
    <w:p w:rsidR="00175704" w:rsidRPr="00175704" w:rsidRDefault="00175704">
      <w:pPr>
        <w:rPr>
          <w:rFonts w:asciiTheme="majorHAnsi" w:hAnsiTheme="majorHAnsi"/>
          <w:sz w:val="22"/>
        </w:rPr>
      </w:pPr>
      <w:r w:rsidRPr="00175704">
        <w:rPr>
          <w:rFonts w:asciiTheme="majorHAnsi" w:hAnsiTheme="majorHAnsi"/>
          <w:sz w:val="22"/>
        </w:rPr>
        <w:t>Frente a este panorama renacen procesos de organización y resistencia</w:t>
      </w:r>
      <w:r>
        <w:rPr>
          <w:rFonts w:asciiTheme="majorHAnsi" w:hAnsiTheme="majorHAnsi"/>
          <w:sz w:val="22"/>
        </w:rPr>
        <w:t xml:space="preserve"> desde los territorios</w:t>
      </w:r>
      <w:r w:rsidRPr="00175704">
        <w:rPr>
          <w:rFonts w:asciiTheme="majorHAnsi" w:hAnsiTheme="majorHAnsi"/>
          <w:sz w:val="22"/>
        </w:rPr>
        <w:t>, que demandan el derecho a la vivienda y el derecho a la tierra, ambos protegidos por instrumentos del derecho humano internacional, e</w:t>
      </w:r>
      <w:r w:rsidR="00785B65">
        <w:rPr>
          <w:rFonts w:asciiTheme="majorHAnsi" w:hAnsiTheme="majorHAnsi"/>
          <w:sz w:val="22"/>
        </w:rPr>
        <w:t>n tratados ra</w:t>
      </w:r>
      <w:r w:rsidRPr="00175704">
        <w:rPr>
          <w:rFonts w:asciiTheme="majorHAnsi" w:hAnsiTheme="majorHAnsi"/>
          <w:sz w:val="22"/>
        </w:rPr>
        <w:t>tificados por Chile. El desafí</w:t>
      </w:r>
      <w:r>
        <w:rPr>
          <w:rFonts w:asciiTheme="majorHAnsi" w:hAnsiTheme="majorHAnsi"/>
          <w:sz w:val="22"/>
        </w:rPr>
        <w:t xml:space="preserve">o </w:t>
      </w:r>
      <w:r w:rsidRPr="00175704">
        <w:rPr>
          <w:rFonts w:asciiTheme="majorHAnsi" w:hAnsiTheme="majorHAnsi"/>
          <w:sz w:val="22"/>
        </w:rPr>
        <w:t xml:space="preserve"> ahora</w:t>
      </w:r>
      <w:r>
        <w:rPr>
          <w:rFonts w:asciiTheme="majorHAnsi" w:hAnsiTheme="majorHAnsi"/>
          <w:sz w:val="22"/>
        </w:rPr>
        <w:t xml:space="preserve"> es</w:t>
      </w:r>
      <w:r w:rsidRPr="00175704">
        <w:rPr>
          <w:rFonts w:asciiTheme="majorHAnsi" w:hAnsiTheme="majorHAnsi"/>
          <w:sz w:val="22"/>
        </w:rPr>
        <w:t xml:space="preserve"> como diseñamos una nueva política urbana, que sea capaz de resguardar los barrios</w:t>
      </w:r>
      <w:r>
        <w:rPr>
          <w:rFonts w:asciiTheme="majorHAnsi" w:hAnsiTheme="majorHAnsi"/>
          <w:sz w:val="22"/>
        </w:rPr>
        <w:t xml:space="preserve"> y sus habitantes</w:t>
      </w:r>
      <w:r w:rsidRPr="00175704">
        <w:rPr>
          <w:rFonts w:asciiTheme="majorHAnsi" w:hAnsiTheme="majorHAnsi"/>
          <w:sz w:val="22"/>
        </w:rPr>
        <w:t xml:space="preserve"> y evitar estos procesos de expulsiones, ya sean por el mercado o por las propias gestiones de los actores del estado. El enfoque del derecho a la ciudad y desde la justici</w:t>
      </w:r>
      <w:r>
        <w:rPr>
          <w:rFonts w:asciiTheme="majorHAnsi" w:hAnsiTheme="majorHAnsi"/>
          <w:sz w:val="22"/>
        </w:rPr>
        <w:t>a espacial son una alternativa, ya que plantean la función social de la ciudad</w:t>
      </w:r>
      <w:r w:rsidR="00D82767">
        <w:rPr>
          <w:rFonts w:asciiTheme="majorHAnsi" w:hAnsiTheme="majorHAnsi"/>
          <w:sz w:val="22"/>
        </w:rPr>
        <w:t>, y la espa</w:t>
      </w:r>
      <w:r w:rsidR="001624CB">
        <w:rPr>
          <w:rFonts w:asciiTheme="majorHAnsi" w:hAnsiTheme="majorHAnsi"/>
          <w:sz w:val="22"/>
        </w:rPr>
        <w:t xml:space="preserve">cialización </w:t>
      </w:r>
      <w:r w:rsidR="00785B65">
        <w:rPr>
          <w:rFonts w:asciiTheme="majorHAnsi" w:hAnsiTheme="majorHAnsi"/>
          <w:sz w:val="22"/>
        </w:rPr>
        <w:t>de la justicia social, respectivamente.</w:t>
      </w:r>
    </w:p>
    <w:p w:rsidR="00175704" w:rsidRDefault="00175704">
      <w:pPr>
        <w:rPr>
          <w:b/>
        </w:rPr>
      </w:pPr>
    </w:p>
    <w:p w:rsidR="00175704" w:rsidRDefault="00175704">
      <w:pPr>
        <w:rPr>
          <w:b/>
        </w:rPr>
      </w:pPr>
    </w:p>
    <w:p w:rsidR="00B41F98" w:rsidRPr="00B41F98" w:rsidRDefault="00B41F98">
      <w:pPr>
        <w:rPr>
          <w:b/>
        </w:rPr>
      </w:pPr>
    </w:p>
    <w:sectPr w:rsidR="00B41F98" w:rsidRPr="00B41F98" w:rsidSect="00B41F98">
      <w:pgSz w:w="11900" w:h="16840"/>
      <w:pgMar w:top="1417" w:right="1701" w:bottom="1417" w:left="1701"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DejaVu Sans">
    <w:altName w:val="Cambria"/>
    <w:charset w:val="00"/>
    <w:family w:val="swiss"/>
    <w:pitch w:val="variable"/>
    <w:sig w:usb0="E7002EFF" w:usb1="D200FDFF" w:usb2="0A042029" w:usb3="00000000" w:csb0="800001FF"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id="0">
    <w:p w:rsidR="00C044C1" w:rsidRPr="00075466" w:rsidRDefault="00C044C1" w:rsidP="00C044C1">
      <w:pPr>
        <w:pStyle w:val="Textonotapie"/>
        <w:rPr>
          <w:sz w:val="20"/>
        </w:rPr>
      </w:pPr>
      <w:r w:rsidRPr="00075466">
        <w:rPr>
          <w:rStyle w:val="Refdenotaalpie"/>
          <w:sz w:val="20"/>
        </w:rPr>
        <w:footnoteRef/>
      </w:r>
      <w:r w:rsidRPr="00075466">
        <w:rPr>
          <w:sz w:val="20"/>
        </w:rPr>
        <w:t xml:space="preserve"> Arquitecto y Académico del Instituto de la Vivienda (</w:t>
      </w:r>
      <w:r w:rsidRPr="00075466">
        <w:rPr>
          <w:strike/>
          <w:sz w:val="20"/>
        </w:rPr>
        <w:t>@</w:t>
      </w:r>
      <w:r w:rsidRPr="00075466">
        <w:rPr>
          <w:sz w:val="20"/>
        </w:rPr>
        <w:t>inviuchile ) de la Universidad de Chile. Master y Doctor©</w:t>
      </w:r>
      <w:r>
        <w:rPr>
          <w:sz w:val="20"/>
        </w:rPr>
        <w:t xml:space="preserve"> en Ciencias Sociales</w:t>
      </w:r>
      <w:r w:rsidRPr="00075466">
        <w:rPr>
          <w:sz w:val="20"/>
        </w:rPr>
        <w:t xml:space="preserve"> del EHESS de París. Coordinador del Observatorio de la Reconstrucción de la Universidad de Chile (</w:t>
      </w:r>
      <w:r w:rsidRPr="00075466">
        <w:rPr>
          <w:strike/>
          <w:sz w:val="20"/>
        </w:rPr>
        <w:t>@</w:t>
      </w:r>
      <w:r w:rsidRPr="00075466">
        <w:rPr>
          <w:sz w:val="20"/>
        </w:rPr>
        <w:t xml:space="preserve">ObservaReconstr) </w:t>
      </w:r>
    </w:p>
  </w:footnote>
  <w:footnote w:id="1">
    <w:p w:rsidR="00175704" w:rsidRPr="009A4D7A" w:rsidRDefault="00175704" w:rsidP="0008572D">
      <w:pPr>
        <w:pStyle w:val="Ttulo2"/>
        <w:spacing w:before="2" w:after="2"/>
        <w:rPr>
          <w:rFonts w:asciiTheme="minorHAnsi" w:hAnsiTheme="minorHAnsi"/>
          <w:b w:val="0"/>
          <w:color w:val="auto"/>
          <w:sz w:val="18"/>
        </w:rPr>
      </w:pPr>
      <w:r w:rsidRPr="009A4D7A">
        <w:rPr>
          <w:rStyle w:val="Refdenotaalpie"/>
          <w:rFonts w:asciiTheme="minorHAnsi" w:hAnsiTheme="minorHAnsi"/>
          <w:b w:val="0"/>
          <w:color w:val="auto"/>
          <w:sz w:val="18"/>
        </w:rPr>
        <w:footnoteRef/>
      </w:r>
      <w:r w:rsidRPr="009A4D7A">
        <w:rPr>
          <w:rFonts w:asciiTheme="minorHAnsi" w:hAnsiTheme="minorHAnsi"/>
          <w:b w:val="0"/>
          <w:color w:val="auto"/>
          <w:sz w:val="18"/>
        </w:rPr>
        <w:t xml:space="preserve"> </w:t>
      </w:r>
      <w:r w:rsidRPr="009A4D7A">
        <w:rPr>
          <w:rStyle w:val="Textoennegrita"/>
          <w:rFonts w:asciiTheme="minorHAnsi" w:hAnsiTheme="minorHAnsi"/>
          <w:color w:val="auto"/>
          <w:sz w:val="18"/>
        </w:rPr>
        <w:t xml:space="preserve">Vargas, Vanessa . </w:t>
      </w:r>
      <w:r w:rsidRPr="009A4D7A">
        <w:rPr>
          <w:rFonts w:asciiTheme="minorHAnsi" w:hAnsiTheme="minorHAnsi"/>
          <w:b w:val="0"/>
          <w:color w:val="auto"/>
          <w:sz w:val="18"/>
        </w:rPr>
        <w:t>“</w:t>
      </w:r>
      <w:r w:rsidRPr="009A4D7A">
        <w:rPr>
          <w:rFonts w:asciiTheme="minorHAnsi" w:hAnsiTheme="minorHAnsi"/>
          <w:b w:val="0"/>
          <w:i/>
          <w:color w:val="auto"/>
          <w:sz w:val="18"/>
        </w:rPr>
        <w:t>Informe de Contraloría detecta sobrepagos en mediaguas</w:t>
      </w:r>
      <w:r w:rsidRPr="009A4D7A">
        <w:rPr>
          <w:rFonts w:asciiTheme="minorHAnsi" w:hAnsiTheme="minorHAnsi"/>
          <w:b w:val="0"/>
          <w:color w:val="auto"/>
          <w:sz w:val="18"/>
        </w:rPr>
        <w:t>”. Diario El Ciudadano. 04.01.2011. Disponible en línea: http://www.elciudadano.cl/2011/01/04/30731/informe-de-contraloria-detecta-sobrepagos-en-mediaguas/</w:t>
      </w:r>
    </w:p>
  </w:footnote>
  <w:footnote w:id="2">
    <w:p w:rsidR="00175704" w:rsidRPr="009A4D7A" w:rsidRDefault="00175704" w:rsidP="0008572D">
      <w:pPr>
        <w:pStyle w:val="Ttulo1"/>
        <w:spacing w:before="2" w:after="2"/>
        <w:rPr>
          <w:rFonts w:asciiTheme="minorHAnsi" w:hAnsiTheme="minorHAnsi"/>
          <w:b w:val="0"/>
          <w:sz w:val="18"/>
        </w:rPr>
      </w:pPr>
      <w:r w:rsidRPr="009A4D7A">
        <w:rPr>
          <w:rStyle w:val="Refdenotaalpie"/>
          <w:rFonts w:asciiTheme="minorHAnsi" w:hAnsiTheme="minorHAnsi"/>
          <w:b w:val="0"/>
          <w:sz w:val="18"/>
        </w:rPr>
        <w:footnoteRef/>
      </w:r>
      <w:r w:rsidRPr="009A4D7A">
        <w:rPr>
          <w:rFonts w:asciiTheme="minorHAnsi" w:hAnsiTheme="minorHAnsi"/>
          <w:b w:val="0"/>
          <w:sz w:val="18"/>
        </w:rPr>
        <w:t xml:space="preserve"> Urquieta, Claudia. “</w:t>
      </w:r>
      <w:r w:rsidRPr="009A4D7A">
        <w:rPr>
          <w:rFonts w:asciiTheme="minorHAnsi" w:hAnsiTheme="minorHAnsi"/>
          <w:b w:val="0"/>
          <w:i/>
          <w:sz w:val="18"/>
        </w:rPr>
        <w:t>CDE se querella en caso Cencosud por falsa ayuda humanitaria ingresada tras el terremoto</w:t>
      </w:r>
      <w:r w:rsidRPr="009A4D7A">
        <w:rPr>
          <w:rFonts w:asciiTheme="minorHAnsi" w:hAnsiTheme="minorHAnsi"/>
          <w:b w:val="0"/>
          <w:sz w:val="18"/>
        </w:rPr>
        <w:t>”. Diario El Mostrador. Disponible en línea en: http://www.elmostrador.cl/noticias/pais/2011/12/15/cde-se-querella-en-caso-cencosud-por-falsa-ayuda-humanitaria-ingresada-tras-el-terremoto/</w:t>
      </w:r>
    </w:p>
  </w:footnote>
  <w:footnote w:id="3">
    <w:p w:rsidR="00175704" w:rsidRPr="009A4D7A" w:rsidRDefault="00175704" w:rsidP="0008572D">
      <w:pPr>
        <w:pStyle w:val="Ttulo2"/>
        <w:spacing w:before="2" w:after="2"/>
        <w:rPr>
          <w:rFonts w:asciiTheme="minorHAnsi" w:hAnsiTheme="minorHAnsi"/>
          <w:b w:val="0"/>
          <w:color w:val="auto"/>
          <w:sz w:val="18"/>
        </w:rPr>
      </w:pPr>
      <w:r w:rsidRPr="00DD386F">
        <w:rPr>
          <w:rStyle w:val="Refdenotaalpie"/>
          <w:rFonts w:asciiTheme="minorHAnsi" w:hAnsiTheme="minorHAnsi"/>
          <w:b w:val="0"/>
          <w:color w:val="auto"/>
          <w:sz w:val="18"/>
        </w:rPr>
        <w:footnoteRef/>
      </w:r>
      <w:r w:rsidRPr="00DD386F">
        <w:rPr>
          <w:rFonts w:asciiTheme="minorHAnsi" w:hAnsiTheme="minorHAnsi"/>
          <w:b w:val="0"/>
          <w:color w:val="auto"/>
          <w:sz w:val="18"/>
        </w:rPr>
        <w:t xml:space="preserve"> </w:t>
      </w:r>
      <w:r w:rsidRPr="00DD386F">
        <w:rPr>
          <w:rStyle w:val="Textoennegrita"/>
          <w:rFonts w:asciiTheme="minorHAnsi" w:hAnsiTheme="minorHAnsi"/>
          <w:color w:val="auto"/>
          <w:sz w:val="18"/>
        </w:rPr>
        <w:t>Peralta, Gustavo</w:t>
      </w:r>
      <w:r w:rsidRPr="00DD386F">
        <w:rPr>
          <w:rFonts w:asciiTheme="minorHAnsi" w:hAnsiTheme="minorHAnsi"/>
          <w:b w:val="0"/>
          <w:color w:val="auto"/>
          <w:sz w:val="18"/>
        </w:rPr>
        <w:t>. ”</w:t>
      </w:r>
      <w:r w:rsidRPr="009A4D7A">
        <w:rPr>
          <w:rFonts w:asciiTheme="minorHAnsi" w:hAnsiTheme="minorHAnsi"/>
          <w:b w:val="0"/>
          <w:i/>
          <w:color w:val="auto"/>
          <w:sz w:val="18"/>
        </w:rPr>
        <w:t>Fuerzas Armadas señaladas por corrupción</w:t>
      </w:r>
      <w:r w:rsidRPr="009A4D7A">
        <w:rPr>
          <w:rFonts w:asciiTheme="minorHAnsi" w:hAnsiTheme="minorHAnsi"/>
          <w:b w:val="0"/>
          <w:color w:val="auto"/>
          <w:sz w:val="18"/>
        </w:rPr>
        <w:t>”. Diario El Ciudadano. 31.01.2011. Disponible en línea en: http://www.elciudadano.cl/2011/01/31/31674/fuerzas-armadas-senaladas-por-corrupcion/</w:t>
      </w:r>
    </w:p>
  </w:footnote>
  <w:footnote w:id="4">
    <w:p w:rsidR="00175704" w:rsidRPr="00A82CF8" w:rsidRDefault="00175704" w:rsidP="006D6868">
      <w:pPr>
        <w:pStyle w:val="Textonotapie"/>
        <w:rPr>
          <w:sz w:val="18"/>
        </w:rPr>
      </w:pPr>
      <w:r w:rsidRPr="00A82CF8">
        <w:rPr>
          <w:rStyle w:val="Refdenotaalpie"/>
          <w:sz w:val="18"/>
        </w:rPr>
        <w:footnoteRef/>
      </w:r>
      <w:r w:rsidRPr="00A82CF8">
        <w:rPr>
          <w:sz w:val="18"/>
        </w:rPr>
        <w:t xml:space="preserve"> Hechos Urbanos, boletín de información y análisis.  Santiago de Chile : Centro de Documentación SUR, V. 35, agosto, 1984.  Obtenido desde: http://www.sitiosur.cl/r.php?id=205 [Consultado en: 22-08-2012] </w:t>
      </w:r>
    </w:p>
  </w:footnote>
  <w:footnote w:id="5">
    <w:p w:rsidR="00175704" w:rsidRPr="00A82CF8" w:rsidRDefault="00175704" w:rsidP="006D6868">
      <w:pPr>
        <w:pStyle w:val="Textonotapie"/>
        <w:rPr>
          <w:sz w:val="18"/>
        </w:rPr>
      </w:pPr>
      <w:r w:rsidRPr="00A82CF8">
        <w:rPr>
          <w:rStyle w:val="Refdenotaalpie"/>
          <w:sz w:val="18"/>
        </w:rPr>
        <w:footnoteRef/>
      </w:r>
      <w:r w:rsidRPr="00A82CF8">
        <w:rPr>
          <w:sz w:val="18"/>
        </w:rPr>
        <w:t xml:space="preserve"> </w:t>
      </w:r>
      <w:r w:rsidRPr="00A82CF8">
        <w:rPr>
          <w:rFonts w:cs="Helvetica"/>
          <w:sz w:val="18"/>
          <w:szCs w:val="22"/>
          <w:lang w:val="en-US"/>
        </w:rPr>
        <w:t xml:space="preserve">Harvey, David. </w:t>
      </w:r>
      <w:r w:rsidRPr="00A82CF8">
        <w:rPr>
          <w:rFonts w:cs="Helvetica"/>
          <w:bCs/>
          <w:sz w:val="18"/>
          <w:lang w:val="en-US"/>
        </w:rPr>
        <w:t>Neoliberalism as Creative Destruction</w:t>
      </w:r>
      <w:r w:rsidRPr="00A82CF8">
        <w:rPr>
          <w:rFonts w:cs="Helvetica"/>
          <w:sz w:val="18"/>
          <w:lang w:val="en-US"/>
        </w:rPr>
        <w:t xml:space="preserve">. </w:t>
      </w:r>
      <w:r w:rsidRPr="00A82CF8">
        <w:rPr>
          <w:rFonts w:cs="Helvetica"/>
          <w:i/>
          <w:iCs/>
          <w:sz w:val="18"/>
          <w:szCs w:val="22"/>
          <w:lang w:val="en-US"/>
        </w:rPr>
        <w:t>The ANNALS of the American Academy of Political and Social Science</w:t>
      </w:r>
      <w:r w:rsidRPr="00A82CF8">
        <w:rPr>
          <w:rFonts w:cs="Helvetica"/>
          <w:sz w:val="18"/>
          <w:lang w:val="en-US"/>
        </w:rPr>
        <w:t xml:space="preserve">. </w:t>
      </w:r>
      <w:r w:rsidRPr="00A82CF8">
        <w:rPr>
          <w:rFonts w:cs="Helvetica"/>
          <w:sz w:val="18"/>
          <w:szCs w:val="22"/>
          <w:lang w:val="en-US"/>
        </w:rPr>
        <w:t xml:space="preserve">DOI: 10.1177/0002716206296780 2007; 610; 21 </w:t>
      </w:r>
    </w:p>
  </w:footnote>
  <w:footnote w:id="6">
    <w:p w:rsidR="00175704" w:rsidRPr="00246B11" w:rsidRDefault="00175704" w:rsidP="006D6868">
      <w:pPr>
        <w:rPr>
          <w:sz w:val="18"/>
        </w:rPr>
      </w:pPr>
      <w:r w:rsidRPr="00A82CF8">
        <w:rPr>
          <w:rStyle w:val="Refdenotaalpie"/>
          <w:sz w:val="18"/>
        </w:rPr>
        <w:footnoteRef/>
      </w:r>
      <w:r w:rsidRPr="00A82CF8">
        <w:rPr>
          <w:sz w:val="18"/>
        </w:rPr>
        <w:t xml:space="preserve"> Pulgar, Claudio. La ciudad neoliberal en Chile: entrevista de Stephan Barthel a Claudio Pulgar. En Vivienda al Día. Blog del Instituto de la Vivienda de la Facultad de Arquitectura y Urbanismo de la Universidad de Chile. 2010. http://infoinvi.uchilefau.cl/index.php/la-ciudad-neoliberal-en-chile-entrevista-de-stephan-barthel-a-claudio-pulgar/ [Consultado en: 22-08-2012]</w:t>
      </w:r>
      <w:r w:rsidRPr="00246B11">
        <w:rPr>
          <w:sz w:val="18"/>
        </w:rPr>
        <w:t xml:space="preserve"> </w:t>
      </w:r>
    </w:p>
  </w:footnote>
  <w:footnote w:id="7">
    <w:p w:rsidR="00175704" w:rsidRPr="00D24A5E" w:rsidRDefault="00175704" w:rsidP="006D6868">
      <w:pPr>
        <w:pStyle w:val="Textonotapie"/>
        <w:rPr>
          <w:sz w:val="18"/>
        </w:rPr>
      </w:pPr>
      <w:r w:rsidRPr="00D24A5E">
        <w:rPr>
          <w:rStyle w:val="Refdenotaalpie"/>
          <w:sz w:val="18"/>
        </w:rPr>
        <w:footnoteRef/>
      </w:r>
      <w:r w:rsidRPr="00D24A5E">
        <w:rPr>
          <w:sz w:val="18"/>
        </w:rPr>
        <w:t xml:space="preserve"> Hechos Urbanos, boletín de información y análisis.  Santiago de Chile : Centro de Documentación SUR, V. 35, agosto, 1984.  Obtenido desde: </w:t>
      </w:r>
      <w:r w:rsidRPr="00246B11">
        <w:rPr>
          <w:sz w:val="18"/>
        </w:rPr>
        <w:t>http://www.sitiosur.cl/r.php?id=205</w:t>
      </w:r>
      <w:r>
        <w:rPr>
          <w:sz w:val="18"/>
        </w:rPr>
        <w:t xml:space="preserve"> </w:t>
      </w:r>
      <w:r w:rsidRPr="00D24A5E">
        <w:rPr>
          <w:sz w:val="18"/>
        </w:rPr>
        <w:t xml:space="preserve">[Consultado en: 22-08-2012] </w:t>
      </w:r>
    </w:p>
  </w:footnote>
  <w:footnote w:id="8">
    <w:p w:rsidR="00175704" w:rsidRPr="00FB287D" w:rsidRDefault="00175704" w:rsidP="006D6868">
      <w:pPr>
        <w:pStyle w:val="Textonotapie"/>
        <w:rPr>
          <w:sz w:val="18"/>
          <w:lang w:val="fr-FR"/>
        </w:rPr>
      </w:pPr>
      <w:r w:rsidRPr="002B095F">
        <w:rPr>
          <w:rStyle w:val="Refdenotaalpie"/>
          <w:sz w:val="18"/>
          <w:lang w:val="fr-FR"/>
        </w:rPr>
        <w:footnoteRef/>
      </w:r>
      <w:r w:rsidRPr="002B095F">
        <w:rPr>
          <w:sz w:val="18"/>
          <w:lang w:val="fr-FR"/>
        </w:rPr>
        <w:t xml:space="preserve"> Harvey, David. Le Nouvel Impérialisme. Les Prairies Ordinaires. Paris. 2010. Titre original: The New Imperialism. Oxford University Press. 2003.</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B41F98"/>
    <w:rsid w:val="0008572D"/>
    <w:rsid w:val="001624CB"/>
    <w:rsid w:val="00175704"/>
    <w:rsid w:val="00614A40"/>
    <w:rsid w:val="006D6868"/>
    <w:rsid w:val="00785B65"/>
    <w:rsid w:val="007E6717"/>
    <w:rsid w:val="008A23EF"/>
    <w:rsid w:val="00A27AD0"/>
    <w:rsid w:val="00A9518B"/>
    <w:rsid w:val="00AF6F22"/>
    <w:rsid w:val="00B41F98"/>
    <w:rsid w:val="00C044C1"/>
    <w:rsid w:val="00D82767"/>
    <w:rsid w:val="00DE6C5B"/>
    <w:rsid w:val="00FC0BEA"/>
  </w:rsids>
  <m:mathPr>
    <m:mathFont m:val="Wingdings 2"/>
    <m:brkBin m:val="before"/>
    <m:brkBinSub m:val="--"/>
    <m:smallFrac m:val="off"/>
    <m:dispDef m:val="off"/>
    <m:lMargin m:val="0"/>
    <m:rMargin m:val="0"/>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5E7"/>
  </w:style>
  <w:style w:type="paragraph" w:styleId="Ttulo1">
    <w:name w:val="heading 1"/>
    <w:basedOn w:val="Normal"/>
    <w:link w:val="Ttulo1Car"/>
    <w:uiPriority w:val="9"/>
    <w:rsid w:val="0008572D"/>
    <w:pPr>
      <w:spacing w:beforeLines="1" w:afterLines="1"/>
      <w:outlineLvl w:val="0"/>
    </w:pPr>
    <w:rPr>
      <w:rFonts w:ascii="Times" w:hAnsi="Times"/>
      <w:b/>
      <w:kern w:val="36"/>
      <w:sz w:val="48"/>
      <w:szCs w:val="20"/>
      <w:lang w:eastAsia="es-ES_tradnl"/>
    </w:rPr>
  </w:style>
  <w:style w:type="paragraph" w:styleId="Ttulo2">
    <w:name w:val="heading 2"/>
    <w:basedOn w:val="Normal"/>
    <w:next w:val="Normal"/>
    <w:link w:val="Ttulo2Car"/>
    <w:unhideWhenUsed/>
    <w:qFormat/>
    <w:rsid w:val="0008572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character" w:customStyle="1" w:styleId="Ttulo1Car">
    <w:name w:val="Título 1 Car"/>
    <w:basedOn w:val="Fuentedeprrafopredeter"/>
    <w:link w:val="Ttulo1"/>
    <w:uiPriority w:val="9"/>
    <w:rsid w:val="0008572D"/>
    <w:rPr>
      <w:rFonts w:ascii="Times" w:hAnsi="Times"/>
      <w:b/>
      <w:kern w:val="36"/>
      <w:sz w:val="48"/>
      <w:szCs w:val="20"/>
      <w:lang w:eastAsia="es-ES_tradnl"/>
    </w:rPr>
  </w:style>
  <w:style w:type="character" w:customStyle="1" w:styleId="Ttulo2Car">
    <w:name w:val="Título 2 Car"/>
    <w:basedOn w:val="Fuentedeprrafopredeter"/>
    <w:link w:val="Ttulo2"/>
    <w:rsid w:val="0008572D"/>
    <w:rPr>
      <w:rFonts w:asciiTheme="majorHAnsi" w:eastAsiaTheme="majorEastAsia" w:hAnsiTheme="majorHAnsi" w:cstheme="majorBidi"/>
      <w:b/>
      <w:bCs/>
      <w:color w:val="4F81BD" w:themeColor="accent1"/>
      <w:sz w:val="26"/>
      <w:szCs w:val="26"/>
    </w:rPr>
  </w:style>
  <w:style w:type="paragraph" w:customStyle="1" w:styleId="Standard">
    <w:name w:val="Standard"/>
    <w:rsid w:val="0008572D"/>
    <w:pPr>
      <w:tabs>
        <w:tab w:val="left" w:pos="709"/>
      </w:tabs>
      <w:suppressAutoHyphens/>
      <w:spacing w:line="200" w:lineRule="atLeast"/>
    </w:pPr>
    <w:rPr>
      <w:rFonts w:ascii="Cambria" w:eastAsia="DejaVu Sans" w:hAnsi="Cambria"/>
      <w:lang w:val="es-ES"/>
    </w:rPr>
  </w:style>
  <w:style w:type="character" w:styleId="Refdenotaalpie">
    <w:name w:val="footnote reference"/>
    <w:basedOn w:val="Fuentedeprrafopredeter"/>
    <w:unhideWhenUsed/>
    <w:rsid w:val="0008572D"/>
    <w:rPr>
      <w:vertAlign w:val="superscript"/>
    </w:rPr>
  </w:style>
  <w:style w:type="character" w:styleId="Textoennegrita">
    <w:name w:val="Strong"/>
    <w:basedOn w:val="Fuentedeprrafopredeter"/>
    <w:uiPriority w:val="22"/>
    <w:rsid w:val="0008572D"/>
    <w:rPr>
      <w:b/>
    </w:rPr>
  </w:style>
  <w:style w:type="paragraph" w:styleId="Textonotapie">
    <w:name w:val="footnote text"/>
    <w:basedOn w:val="Normal"/>
    <w:link w:val="TextonotapieCar"/>
    <w:unhideWhenUsed/>
    <w:rsid w:val="006D6868"/>
    <w:pPr>
      <w:spacing w:after="0"/>
    </w:pPr>
  </w:style>
  <w:style w:type="character" w:customStyle="1" w:styleId="TextonotapieCar">
    <w:name w:val="Texto nota pie Car"/>
    <w:basedOn w:val="Fuentedeprrafopredeter"/>
    <w:link w:val="Textonotapie"/>
    <w:rsid w:val="006D6868"/>
  </w:style>
  <w:style w:type="character" w:styleId="Hipervnculo">
    <w:name w:val="Hyperlink"/>
    <w:basedOn w:val="Fuentedeprrafopredeter"/>
    <w:uiPriority w:val="99"/>
    <w:rsid w:val="008A23EF"/>
    <w:rPr>
      <w:color w:val="0000FF"/>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footnotes" Target="footnotes.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1182</Words>
  <Characters>6741</Characters>
  <Application>Microsoft Word 12.0.0</Application>
  <DocSecurity>0</DocSecurity>
  <Lines>56</Lines>
  <Paragraphs>13</Paragraphs>
  <ScaleCrop>false</ScaleCrop>
  <LinksUpToDate>false</LinksUpToDate>
  <CharactersWithSpaces>8278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Javier Pulgar Pinaud</dc:creator>
  <cp:keywords/>
  <cp:lastModifiedBy>Claudio Javier Pulgar Pinaud</cp:lastModifiedBy>
  <cp:revision>7</cp:revision>
  <dcterms:created xsi:type="dcterms:W3CDTF">2013-02-24T17:03:00Z</dcterms:created>
  <dcterms:modified xsi:type="dcterms:W3CDTF">2013-02-26T15:50:00Z</dcterms:modified>
</cp:coreProperties>
</file>