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83" w:rsidRDefault="00BB0083" w:rsidP="00352824">
      <w:pPr>
        <w:jc w:val="right"/>
        <w:rPr>
          <w:rFonts w:ascii="Arial" w:hAnsi="Arial" w:cs="Arial"/>
          <w:b/>
          <w:sz w:val="24"/>
          <w:szCs w:val="24"/>
        </w:rPr>
      </w:pPr>
      <w:r>
        <w:rPr>
          <w:noProof/>
        </w:rPr>
        <w:drawing>
          <wp:inline distT="0" distB="0" distL="0" distR="0" wp14:anchorId="48219B5D" wp14:editId="4C521BFF">
            <wp:extent cx="120967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895350"/>
                    </a:xfrm>
                    <a:prstGeom prst="rect">
                      <a:avLst/>
                    </a:prstGeom>
                    <a:noFill/>
                    <a:ln>
                      <a:noFill/>
                    </a:ln>
                  </pic:spPr>
                </pic:pic>
              </a:graphicData>
            </a:graphic>
          </wp:inline>
        </w:drawing>
      </w:r>
      <w:r w:rsidR="006B2903">
        <w:rPr>
          <w:rFonts w:ascii="Arial" w:hAnsi="Arial" w:cs="Arial"/>
          <w:b/>
          <w:noProof/>
          <w:sz w:val="24"/>
          <w:szCs w:val="24"/>
          <w:lang w:eastAsia="es-MX"/>
        </w:rPr>
        <w:t xml:space="preserve">                        </w:t>
      </w:r>
      <w:r w:rsidR="00352824">
        <w:rPr>
          <w:rFonts w:ascii="Arial" w:hAnsi="Arial" w:cs="Arial"/>
          <w:b/>
          <w:noProof/>
          <w:sz w:val="24"/>
          <w:szCs w:val="24"/>
          <w:lang w:eastAsia="es-MX"/>
        </w:rPr>
        <w:drawing>
          <wp:inline distT="0" distB="0" distL="0" distR="0">
            <wp:extent cx="3349334" cy="866692"/>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9560" cy="866750"/>
                    </a:xfrm>
                    <a:prstGeom prst="rect">
                      <a:avLst/>
                    </a:prstGeom>
                    <a:noFill/>
                    <a:ln>
                      <a:noFill/>
                    </a:ln>
                  </pic:spPr>
                </pic:pic>
              </a:graphicData>
            </a:graphic>
          </wp:inline>
        </w:drawing>
      </w:r>
    </w:p>
    <w:p w:rsidR="001767F3" w:rsidRPr="00FC49C9" w:rsidRDefault="00FC49C9" w:rsidP="00B71BDE">
      <w:pPr>
        <w:jc w:val="center"/>
        <w:rPr>
          <w:rFonts w:ascii="Arial" w:hAnsi="Arial" w:cs="Arial"/>
          <w:b/>
          <w:sz w:val="24"/>
          <w:szCs w:val="24"/>
        </w:rPr>
      </w:pPr>
      <w:r w:rsidRPr="00FC49C9">
        <w:rPr>
          <w:rFonts w:ascii="Arial" w:hAnsi="Arial" w:cs="Arial"/>
          <w:b/>
          <w:sz w:val="24"/>
          <w:szCs w:val="24"/>
        </w:rPr>
        <w:t>Cuatro</w:t>
      </w:r>
      <w:r w:rsidR="00B71BDE" w:rsidRPr="00FC49C9">
        <w:rPr>
          <w:rFonts w:ascii="Arial" w:hAnsi="Arial" w:cs="Arial"/>
          <w:b/>
          <w:sz w:val="24"/>
          <w:szCs w:val="24"/>
        </w:rPr>
        <w:t xml:space="preserve"> temas para la próxima Agenda Urbana</w:t>
      </w:r>
    </w:p>
    <w:p w:rsidR="008F6650" w:rsidRPr="00BB0083" w:rsidRDefault="008F6650" w:rsidP="00196D0E">
      <w:pPr>
        <w:jc w:val="both"/>
        <w:rPr>
          <w:rFonts w:asciiTheme="majorHAnsi" w:hAnsiTheme="majorHAnsi" w:cs="Arial"/>
        </w:rPr>
      </w:pPr>
      <w:r w:rsidRPr="00BB0083">
        <w:rPr>
          <w:rFonts w:asciiTheme="majorHAnsi" w:hAnsiTheme="majorHAnsi" w:cs="Arial"/>
        </w:rPr>
        <w:t>Comentarios generales:</w:t>
      </w:r>
    </w:p>
    <w:p w:rsidR="008F6650" w:rsidRPr="00BB0083" w:rsidRDefault="008F6650" w:rsidP="00FC49C9">
      <w:pPr>
        <w:pStyle w:val="Prrafodelista"/>
        <w:numPr>
          <w:ilvl w:val="0"/>
          <w:numId w:val="1"/>
        </w:numPr>
        <w:jc w:val="both"/>
        <w:rPr>
          <w:rFonts w:asciiTheme="majorHAnsi" w:hAnsiTheme="majorHAnsi" w:cs="Arial"/>
        </w:rPr>
      </w:pPr>
      <w:r w:rsidRPr="00BB0083">
        <w:rPr>
          <w:rFonts w:asciiTheme="majorHAnsi" w:hAnsiTheme="majorHAnsi" w:cs="Arial"/>
        </w:rPr>
        <w:t xml:space="preserve"> Precisar</w:t>
      </w:r>
      <w:r w:rsidR="00196D0E" w:rsidRPr="00BB0083">
        <w:rPr>
          <w:rFonts w:asciiTheme="majorHAnsi" w:hAnsiTheme="majorHAnsi" w:cs="Arial"/>
        </w:rPr>
        <w:t xml:space="preserve"> y </w:t>
      </w:r>
      <w:r w:rsidRPr="00BB0083">
        <w:rPr>
          <w:rFonts w:asciiTheme="majorHAnsi" w:hAnsiTheme="majorHAnsi" w:cs="Arial"/>
        </w:rPr>
        <w:t>aterrizar las acciones previstas en el documento</w:t>
      </w:r>
    </w:p>
    <w:p w:rsidR="008F6650" w:rsidRPr="00BB0083" w:rsidRDefault="008F6650" w:rsidP="008F6650">
      <w:pPr>
        <w:pStyle w:val="Prrafodelista"/>
        <w:numPr>
          <w:ilvl w:val="0"/>
          <w:numId w:val="1"/>
        </w:numPr>
        <w:jc w:val="both"/>
        <w:rPr>
          <w:rFonts w:asciiTheme="majorHAnsi" w:hAnsiTheme="majorHAnsi" w:cs="Arial"/>
        </w:rPr>
      </w:pPr>
      <w:r w:rsidRPr="00BB0083">
        <w:rPr>
          <w:rFonts w:asciiTheme="majorHAnsi" w:hAnsiTheme="majorHAnsi" w:cs="Arial"/>
        </w:rPr>
        <w:t>Diferenciar</w:t>
      </w:r>
      <w:r w:rsidR="00196D0E" w:rsidRPr="00BB0083">
        <w:rPr>
          <w:rFonts w:asciiTheme="majorHAnsi" w:hAnsiTheme="majorHAnsi" w:cs="Arial"/>
        </w:rPr>
        <w:t xml:space="preserve"> los procesos mercantiles </w:t>
      </w:r>
      <w:r w:rsidR="00FC49C9" w:rsidRPr="00BB0083">
        <w:rPr>
          <w:rFonts w:asciiTheme="majorHAnsi" w:hAnsiTheme="majorHAnsi" w:cs="Arial"/>
        </w:rPr>
        <w:t xml:space="preserve">de los sociales </w:t>
      </w:r>
      <w:r w:rsidRPr="00BB0083">
        <w:rPr>
          <w:rFonts w:asciiTheme="majorHAnsi" w:hAnsiTheme="majorHAnsi" w:cs="Arial"/>
        </w:rPr>
        <w:t>por tener lógicas distintas</w:t>
      </w:r>
      <w:r w:rsidR="00196D0E" w:rsidRPr="00BB0083">
        <w:rPr>
          <w:rFonts w:asciiTheme="majorHAnsi" w:hAnsiTheme="majorHAnsi" w:cs="Arial"/>
        </w:rPr>
        <w:t xml:space="preserve"> (por ejemplo la economía empresarial de la informal</w:t>
      </w:r>
      <w:r w:rsidR="004E64EE" w:rsidRPr="00BB0083">
        <w:rPr>
          <w:rFonts w:asciiTheme="majorHAnsi" w:hAnsiTheme="majorHAnsi" w:cs="Arial"/>
        </w:rPr>
        <w:t>, la producción de vivienda por parte de empresas privadas de la desarrollada por producción social del hábitat</w:t>
      </w:r>
      <w:r w:rsidR="00196D0E" w:rsidRPr="00BB0083">
        <w:rPr>
          <w:rFonts w:asciiTheme="majorHAnsi" w:hAnsiTheme="majorHAnsi" w:cs="Arial"/>
        </w:rPr>
        <w:t>)</w:t>
      </w:r>
      <w:r w:rsidR="002A0C8D" w:rsidRPr="00BB0083">
        <w:rPr>
          <w:rFonts w:asciiTheme="majorHAnsi" w:hAnsiTheme="majorHAnsi" w:cs="Arial"/>
        </w:rPr>
        <w:t xml:space="preserve">. </w:t>
      </w:r>
    </w:p>
    <w:p w:rsidR="00196D0E" w:rsidRPr="00BB0083" w:rsidRDefault="00FC49C9" w:rsidP="008F6650">
      <w:pPr>
        <w:pStyle w:val="Prrafodelista"/>
        <w:numPr>
          <w:ilvl w:val="0"/>
          <w:numId w:val="1"/>
        </w:numPr>
        <w:jc w:val="both"/>
        <w:rPr>
          <w:rFonts w:asciiTheme="majorHAnsi" w:hAnsiTheme="majorHAnsi" w:cs="Arial"/>
        </w:rPr>
      </w:pPr>
      <w:r w:rsidRPr="00BB0083">
        <w:rPr>
          <w:rFonts w:asciiTheme="majorHAnsi" w:hAnsiTheme="majorHAnsi" w:cs="Arial"/>
        </w:rPr>
        <w:t>E</w:t>
      </w:r>
      <w:r w:rsidR="002A0C8D" w:rsidRPr="00BB0083">
        <w:rPr>
          <w:rFonts w:asciiTheme="majorHAnsi" w:hAnsiTheme="majorHAnsi" w:cs="Arial"/>
        </w:rPr>
        <w:t xml:space="preserve">l tipo de la participación prevista en diferentes puntos del documento debe reforzarse y perfilarse más para que no se limite a lo consultivo, se prevea a los más altos niveles de decisión y se posibiliten ejercicios de contraloría ciudadana. </w:t>
      </w:r>
    </w:p>
    <w:p w:rsidR="008F6650" w:rsidRPr="00BB0083" w:rsidRDefault="008F6650" w:rsidP="008F6650">
      <w:pPr>
        <w:pStyle w:val="Prrafodelista"/>
        <w:jc w:val="both"/>
        <w:rPr>
          <w:rFonts w:asciiTheme="majorHAnsi" w:hAnsiTheme="majorHAnsi" w:cs="Arial"/>
        </w:rPr>
      </w:pPr>
    </w:p>
    <w:p w:rsidR="00B71BDE" w:rsidRPr="00BB0083" w:rsidRDefault="00B71BDE" w:rsidP="00FC49C9">
      <w:pPr>
        <w:pStyle w:val="Prrafodelista"/>
        <w:numPr>
          <w:ilvl w:val="0"/>
          <w:numId w:val="3"/>
        </w:numPr>
        <w:jc w:val="both"/>
        <w:rPr>
          <w:rFonts w:asciiTheme="majorHAnsi" w:hAnsiTheme="majorHAnsi" w:cs="Arial"/>
          <w:b/>
          <w:i/>
        </w:rPr>
      </w:pPr>
      <w:r w:rsidRPr="00BB0083">
        <w:rPr>
          <w:rFonts w:asciiTheme="majorHAnsi" w:hAnsiTheme="majorHAnsi" w:cs="Arial"/>
          <w:b/>
          <w:i/>
        </w:rPr>
        <w:t>Mejorar la definición de Derecho a la ciudad (párrafo 4 del borrador “0” de la Agenda)</w:t>
      </w:r>
    </w:p>
    <w:p w:rsidR="00B71BDE" w:rsidRPr="00BB0083" w:rsidRDefault="00B71BDE" w:rsidP="00B71BDE">
      <w:pPr>
        <w:jc w:val="both"/>
        <w:rPr>
          <w:rFonts w:asciiTheme="majorHAnsi" w:hAnsiTheme="majorHAnsi" w:cs="Arial"/>
          <w:u w:val="single"/>
        </w:rPr>
      </w:pPr>
      <w:r w:rsidRPr="00BB0083">
        <w:rPr>
          <w:rFonts w:asciiTheme="majorHAnsi" w:hAnsiTheme="majorHAnsi" w:cs="Arial"/>
          <w:u w:val="single"/>
        </w:rPr>
        <w:t>Argumentos</w:t>
      </w:r>
    </w:p>
    <w:p w:rsidR="00825F10" w:rsidRPr="00BB0083" w:rsidRDefault="00B71BDE" w:rsidP="00825F10">
      <w:pPr>
        <w:autoSpaceDE w:val="0"/>
        <w:autoSpaceDN w:val="0"/>
        <w:adjustRightInd w:val="0"/>
        <w:spacing w:after="0" w:line="240" w:lineRule="auto"/>
        <w:jc w:val="both"/>
        <w:rPr>
          <w:rFonts w:asciiTheme="majorHAnsi" w:eastAsia="AlrightSans-Light" w:hAnsiTheme="majorHAnsi" w:cs="Arial"/>
          <w:i/>
          <w:iCs/>
        </w:rPr>
      </w:pPr>
      <w:r w:rsidRPr="00BB0083">
        <w:rPr>
          <w:rFonts w:asciiTheme="majorHAnsi" w:hAnsiTheme="majorHAnsi" w:cs="Arial"/>
        </w:rPr>
        <w:t>Creemos que México puede defender una definición del derecho a la ciudad más amplia y clara de la que se encuentra actualmente en el borrador “0”</w:t>
      </w:r>
      <w:r w:rsidR="00825F10" w:rsidRPr="00BB0083">
        <w:rPr>
          <w:rFonts w:asciiTheme="majorHAnsi" w:hAnsiTheme="majorHAnsi" w:cs="Arial"/>
        </w:rPr>
        <w:t xml:space="preserve"> mostrando estar a la vanguardia en el tema</w:t>
      </w:r>
      <w:r w:rsidRPr="00BB0083">
        <w:rPr>
          <w:rFonts w:asciiTheme="majorHAnsi" w:hAnsiTheme="majorHAnsi" w:cs="Arial"/>
        </w:rPr>
        <w:t xml:space="preserve">. En América Latina este derecho </w:t>
      </w:r>
      <w:r w:rsidR="00825F10" w:rsidRPr="00BB0083">
        <w:rPr>
          <w:rFonts w:asciiTheme="majorHAnsi" w:hAnsiTheme="majorHAnsi" w:cs="Arial"/>
        </w:rPr>
        <w:t>está</w:t>
      </w:r>
      <w:r w:rsidRPr="00BB0083">
        <w:rPr>
          <w:rFonts w:asciiTheme="majorHAnsi" w:hAnsiTheme="majorHAnsi" w:cs="Arial"/>
        </w:rPr>
        <w:t xml:space="preserve"> reconocido en el Estatuto de la Ciudad de Brasil </w:t>
      </w:r>
      <w:r w:rsidR="00825F10" w:rsidRPr="00BB0083">
        <w:rPr>
          <w:rFonts w:asciiTheme="majorHAnsi" w:hAnsiTheme="majorHAnsi" w:cs="Arial"/>
        </w:rPr>
        <w:t xml:space="preserve">(2001) </w:t>
      </w:r>
      <w:r w:rsidRPr="00BB0083">
        <w:rPr>
          <w:rFonts w:asciiTheme="majorHAnsi" w:hAnsiTheme="majorHAnsi" w:cs="Arial"/>
        </w:rPr>
        <w:t>así como en la Constitución de Ecuador</w:t>
      </w:r>
      <w:r w:rsidR="00825F10" w:rsidRPr="00BB0083">
        <w:rPr>
          <w:rFonts w:asciiTheme="majorHAnsi" w:hAnsiTheme="majorHAnsi" w:cs="Arial"/>
        </w:rPr>
        <w:t xml:space="preserve"> (2008)</w:t>
      </w:r>
      <w:r w:rsidRPr="00BB0083">
        <w:rPr>
          <w:rFonts w:asciiTheme="majorHAnsi" w:hAnsiTheme="majorHAnsi" w:cs="Arial"/>
        </w:rPr>
        <w:t>. Los tres poderes de la Ciudad de México</w:t>
      </w:r>
      <w:r w:rsidR="00825F10" w:rsidRPr="00BB0083">
        <w:rPr>
          <w:rFonts w:asciiTheme="majorHAnsi" w:hAnsiTheme="majorHAnsi" w:cs="Arial"/>
        </w:rPr>
        <w:t xml:space="preserve"> han suscito la Carta de la Ciudad de México por el Derecho a la Ciudad (2010) y la SEDATU en la actualidad está organizando consultas en todo el país empleado este concepto. </w:t>
      </w:r>
      <w:r w:rsidR="00825F10" w:rsidRPr="00BB0083">
        <w:rPr>
          <w:rFonts w:asciiTheme="majorHAnsi" w:eastAsia="AlrightSans-Light" w:hAnsiTheme="majorHAnsi" w:cs="Arial"/>
        </w:rPr>
        <w:t>Por su parte, los Jefes de Estado de</w:t>
      </w:r>
      <w:r w:rsidR="00825F10" w:rsidRPr="00BB0083">
        <w:rPr>
          <w:rFonts w:asciiTheme="majorHAnsi" w:eastAsia="AlrightSans-Light" w:hAnsiTheme="majorHAnsi" w:cs="Arial"/>
        </w:rPr>
        <w:t xml:space="preserve"> </w:t>
      </w:r>
      <w:r w:rsidR="0040666F" w:rsidRPr="00BB0083">
        <w:rPr>
          <w:rFonts w:asciiTheme="majorHAnsi" w:eastAsia="AlrightSans-Light" w:hAnsiTheme="majorHAnsi" w:cs="Arial"/>
        </w:rPr>
        <w:t>Iberoamérica</w:t>
      </w:r>
      <w:r w:rsidR="00825F10" w:rsidRPr="00BB0083">
        <w:rPr>
          <w:rFonts w:asciiTheme="majorHAnsi" w:eastAsia="AlrightSans-Light" w:hAnsiTheme="majorHAnsi" w:cs="Arial"/>
        </w:rPr>
        <w:t xml:space="preserve"> decidieron, hace ya varios </w:t>
      </w:r>
      <w:r w:rsidR="00825F10" w:rsidRPr="00BB0083">
        <w:rPr>
          <w:rFonts w:asciiTheme="majorHAnsi" w:eastAsia="AlrightSans-Light" w:hAnsiTheme="majorHAnsi" w:cs="Arial"/>
        </w:rPr>
        <w:t>años</w:t>
      </w:r>
      <w:r w:rsidR="00825F10" w:rsidRPr="00BB0083">
        <w:rPr>
          <w:rFonts w:asciiTheme="majorHAnsi" w:eastAsia="AlrightSans-Light" w:hAnsiTheme="majorHAnsi" w:cs="Arial"/>
        </w:rPr>
        <w:t>,</w:t>
      </w:r>
      <w:r w:rsidR="00825F10" w:rsidRPr="00BB0083">
        <w:rPr>
          <w:rFonts w:asciiTheme="majorHAnsi" w:eastAsia="AlrightSans-Light" w:hAnsiTheme="majorHAnsi" w:cs="Arial"/>
        </w:rPr>
        <w:t xml:space="preserve"> </w:t>
      </w:r>
      <w:r w:rsidR="00825F10" w:rsidRPr="00BB0083">
        <w:rPr>
          <w:rFonts w:asciiTheme="majorHAnsi" w:eastAsia="AlrightSans-Light" w:hAnsiTheme="majorHAnsi" w:cs="Arial"/>
        </w:rPr>
        <w:t>instruir a los ministros de Vivienda y Urbanismo</w:t>
      </w:r>
      <w:r w:rsidR="00825F10" w:rsidRPr="00BB0083">
        <w:rPr>
          <w:rFonts w:asciiTheme="majorHAnsi" w:eastAsia="AlrightSans-Light" w:hAnsiTheme="majorHAnsi" w:cs="Arial"/>
        </w:rPr>
        <w:t xml:space="preserve"> </w:t>
      </w:r>
      <w:r w:rsidR="00825F10" w:rsidRPr="00BB0083">
        <w:rPr>
          <w:rFonts w:asciiTheme="majorHAnsi" w:eastAsia="AlrightSans-Light" w:hAnsiTheme="majorHAnsi" w:cs="Arial"/>
        </w:rPr>
        <w:t>para que</w:t>
      </w:r>
      <w:r w:rsidR="00825F10" w:rsidRPr="00BB0083">
        <w:rPr>
          <w:rFonts w:asciiTheme="majorHAnsi" w:eastAsia="AlrightSans-Light" w:hAnsiTheme="majorHAnsi" w:cs="Arial"/>
        </w:rPr>
        <w:t xml:space="preserve">: </w:t>
      </w:r>
      <w:r w:rsidR="00825F10" w:rsidRPr="00BB0083">
        <w:rPr>
          <w:rFonts w:asciiTheme="majorHAnsi" w:eastAsia="AlrightSans-Light" w:hAnsiTheme="majorHAnsi" w:cs="Arial"/>
          <w:i/>
          <w:iCs/>
        </w:rPr>
        <w:t>“promuevan la consagración del Derecho</w:t>
      </w:r>
      <w:r w:rsidR="00825F10" w:rsidRPr="00BB0083">
        <w:rPr>
          <w:rFonts w:asciiTheme="majorHAnsi" w:eastAsia="AlrightSans-Light" w:hAnsiTheme="majorHAnsi" w:cs="Arial"/>
          <w:i/>
          <w:iCs/>
        </w:rPr>
        <w:t xml:space="preserve"> </w:t>
      </w:r>
      <w:r w:rsidR="00825F10" w:rsidRPr="00BB0083">
        <w:rPr>
          <w:rFonts w:asciiTheme="majorHAnsi" w:eastAsia="AlrightSans-Light" w:hAnsiTheme="majorHAnsi" w:cs="Arial"/>
          <w:i/>
          <w:iCs/>
        </w:rPr>
        <w:t>a la Ciudad mediante la generación</w:t>
      </w:r>
      <w:r w:rsidR="00825F10" w:rsidRPr="00BB0083">
        <w:rPr>
          <w:rFonts w:asciiTheme="majorHAnsi" w:eastAsia="AlrightSans-Light" w:hAnsiTheme="majorHAnsi" w:cs="Arial"/>
          <w:i/>
          <w:iCs/>
        </w:rPr>
        <w:t xml:space="preserve"> </w:t>
      </w:r>
      <w:r w:rsidR="00825F10" w:rsidRPr="00BB0083">
        <w:rPr>
          <w:rFonts w:asciiTheme="majorHAnsi" w:eastAsia="AlrightSans-Light" w:hAnsiTheme="majorHAnsi" w:cs="Arial"/>
          <w:i/>
          <w:iCs/>
        </w:rPr>
        <w:t>de políticas públicas que aseguren el</w:t>
      </w:r>
      <w:r w:rsidR="00825F10" w:rsidRPr="00BB0083">
        <w:rPr>
          <w:rFonts w:asciiTheme="majorHAnsi" w:eastAsia="AlrightSans-Light" w:hAnsiTheme="majorHAnsi" w:cs="Arial"/>
          <w:i/>
          <w:iCs/>
        </w:rPr>
        <w:t xml:space="preserve"> </w:t>
      </w:r>
      <w:r w:rsidR="00825F10" w:rsidRPr="00BB0083">
        <w:rPr>
          <w:rFonts w:asciiTheme="majorHAnsi" w:eastAsia="AlrightSans-Light" w:hAnsiTheme="majorHAnsi" w:cs="Arial"/>
          <w:i/>
          <w:iCs/>
        </w:rPr>
        <w:t>acceso al suelo, a viviendas adecuadas,</w:t>
      </w:r>
      <w:r w:rsidR="00825F10" w:rsidRPr="00BB0083">
        <w:rPr>
          <w:rFonts w:asciiTheme="majorHAnsi" w:eastAsia="AlrightSans-Light" w:hAnsiTheme="majorHAnsi" w:cs="Arial"/>
          <w:i/>
          <w:iCs/>
        </w:rPr>
        <w:t xml:space="preserve"> </w:t>
      </w:r>
      <w:r w:rsidR="00825F10" w:rsidRPr="00BB0083">
        <w:rPr>
          <w:rFonts w:asciiTheme="majorHAnsi" w:eastAsia="AlrightSans-Light" w:hAnsiTheme="majorHAnsi" w:cs="Arial"/>
          <w:i/>
          <w:iCs/>
        </w:rPr>
        <w:t>infraestructura y equipamiento social y los</w:t>
      </w:r>
      <w:r w:rsidR="00825F10" w:rsidRPr="00BB0083">
        <w:rPr>
          <w:rFonts w:asciiTheme="majorHAnsi" w:eastAsia="AlrightSans-Light" w:hAnsiTheme="majorHAnsi" w:cs="Arial"/>
          <w:i/>
          <w:iCs/>
        </w:rPr>
        <w:t xml:space="preserve"> </w:t>
      </w:r>
      <w:r w:rsidR="00825F10" w:rsidRPr="00BB0083">
        <w:rPr>
          <w:rFonts w:asciiTheme="majorHAnsi" w:eastAsia="AlrightSans-Light" w:hAnsiTheme="majorHAnsi" w:cs="Arial"/>
          <w:i/>
          <w:iCs/>
        </w:rPr>
        <w:t>mecanismos y las fuentes de financiamiento</w:t>
      </w:r>
      <w:r w:rsidR="00825F10" w:rsidRPr="00BB0083">
        <w:rPr>
          <w:rFonts w:asciiTheme="majorHAnsi" w:eastAsia="AlrightSans-Light" w:hAnsiTheme="majorHAnsi" w:cs="Arial"/>
          <w:i/>
          <w:iCs/>
        </w:rPr>
        <w:t xml:space="preserve"> </w:t>
      </w:r>
      <w:r w:rsidR="00825F10" w:rsidRPr="00BB0083">
        <w:rPr>
          <w:rFonts w:asciiTheme="majorHAnsi" w:eastAsia="AlrightSans-Light" w:hAnsiTheme="majorHAnsi" w:cs="Arial"/>
          <w:i/>
          <w:iCs/>
        </w:rPr>
        <w:t>suficientes y sustentables”</w:t>
      </w:r>
      <w:r w:rsidR="00BB0083">
        <w:rPr>
          <w:rFonts w:asciiTheme="majorHAnsi" w:eastAsia="AlrightSans-Light" w:hAnsiTheme="majorHAnsi" w:cs="Arial"/>
          <w:i/>
          <w:iCs/>
        </w:rPr>
        <w:t xml:space="preserve"> </w:t>
      </w:r>
      <w:r w:rsidR="00825F10" w:rsidRPr="00BB0083">
        <w:rPr>
          <w:rFonts w:asciiTheme="majorHAnsi" w:eastAsia="AlrightSans-Light" w:hAnsiTheme="majorHAnsi" w:cs="Arial"/>
          <w:i/>
          <w:iCs/>
        </w:rPr>
        <w:t>(Declaración de Santiago, 2007).</w:t>
      </w:r>
    </w:p>
    <w:p w:rsidR="00825F10" w:rsidRPr="00BB0083" w:rsidRDefault="00825F10" w:rsidP="00825F10">
      <w:pPr>
        <w:autoSpaceDE w:val="0"/>
        <w:autoSpaceDN w:val="0"/>
        <w:adjustRightInd w:val="0"/>
        <w:spacing w:after="0" w:line="240" w:lineRule="auto"/>
        <w:jc w:val="both"/>
        <w:rPr>
          <w:rFonts w:asciiTheme="majorHAnsi" w:eastAsia="AlrightSans-Light" w:hAnsiTheme="majorHAnsi" w:cs="Arial"/>
          <w:i/>
          <w:iCs/>
        </w:rPr>
      </w:pPr>
    </w:p>
    <w:p w:rsidR="00B71BDE" w:rsidRPr="00BB0083" w:rsidRDefault="00B71BDE" w:rsidP="00825F10">
      <w:pPr>
        <w:autoSpaceDE w:val="0"/>
        <w:autoSpaceDN w:val="0"/>
        <w:adjustRightInd w:val="0"/>
        <w:spacing w:after="0" w:line="240" w:lineRule="auto"/>
        <w:jc w:val="both"/>
        <w:rPr>
          <w:rFonts w:asciiTheme="majorHAnsi" w:hAnsiTheme="majorHAnsi" w:cs="Arial"/>
        </w:rPr>
      </w:pPr>
      <w:r w:rsidRPr="00BB0083">
        <w:rPr>
          <w:rFonts w:asciiTheme="majorHAnsi" w:hAnsiTheme="majorHAnsi" w:cs="Arial"/>
        </w:rPr>
        <w:t>El texto actual confunde el eslogan de “Ciudad para todos”</w:t>
      </w:r>
      <w:r w:rsidR="00825F10" w:rsidRPr="00BB0083">
        <w:rPr>
          <w:rFonts w:asciiTheme="majorHAnsi" w:hAnsiTheme="majorHAnsi" w:cs="Arial"/>
        </w:rPr>
        <w:t xml:space="preserve"> (que ha sido empleado para reagrupar algunos </w:t>
      </w:r>
      <w:proofErr w:type="spellStart"/>
      <w:r w:rsidR="00825F10" w:rsidRPr="00BB0083">
        <w:rPr>
          <w:rFonts w:asciiTheme="majorHAnsi" w:hAnsiTheme="majorHAnsi" w:cs="Arial"/>
        </w:rPr>
        <w:t>policy</w:t>
      </w:r>
      <w:proofErr w:type="spellEnd"/>
      <w:r w:rsidR="00825F10" w:rsidRPr="00BB0083">
        <w:rPr>
          <w:rFonts w:asciiTheme="majorHAnsi" w:hAnsiTheme="majorHAnsi" w:cs="Arial"/>
        </w:rPr>
        <w:t xml:space="preserve"> </w:t>
      </w:r>
      <w:proofErr w:type="spellStart"/>
      <w:r w:rsidR="00825F10" w:rsidRPr="00BB0083">
        <w:rPr>
          <w:rFonts w:asciiTheme="majorHAnsi" w:hAnsiTheme="majorHAnsi" w:cs="Arial"/>
        </w:rPr>
        <w:t>unit</w:t>
      </w:r>
      <w:proofErr w:type="spellEnd"/>
      <w:r w:rsidR="0040666F" w:rsidRPr="00BB0083">
        <w:rPr>
          <w:rFonts w:asciiTheme="majorHAnsi" w:hAnsiTheme="majorHAnsi" w:cs="Arial"/>
        </w:rPr>
        <w:t xml:space="preserve"> y no cuenta con un contenido claro</w:t>
      </w:r>
      <w:r w:rsidR="00825F10" w:rsidRPr="00BB0083">
        <w:rPr>
          <w:rFonts w:asciiTheme="majorHAnsi" w:hAnsiTheme="majorHAnsi" w:cs="Arial"/>
        </w:rPr>
        <w:t>)</w:t>
      </w:r>
      <w:r w:rsidRPr="00BB0083">
        <w:rPr>
          <w:rFonts w:asciiTheme="majorHAnsi" w:hAnsiTheme="majorHAnsi" w:cs="Arial"/>
        </w:rPr>
        <w:t xml:space="preserve"> con el concepto de Derecho a la Ciudad</w:t>
      </w:r>
      <w:r w:rsidR="0040666F" w:rsidRPr="00BB0083">
        <w:rPr>
          <w:rFonts w:asciiTheme="majorHAnsi" w:hAnsiTheme="majorHAnsi" w:cs="Arial"/>
        </w:rPr>
        <w:t xml:space="preserve"> que, por lo que</w:t>
      </w:r>
      <w:r w:rsidR="00825F10" w:rsidRPr="00BB0083">
        <w:rPr>
          <w:rFonts w:asciiTheme="majorHAnsi" w:hAnsiTheme="majorHAnsi" w:cs="Arial"/>
        </w:rPr>
        <w:t xml:space="preserve"> </w:t>
      </w:r>
      <w:r w:rsidR="0040666F" w:rsidRPr="00BB0083">
        <w:rPr>
          <w:rFonts w:asciiTheme="majorHAnsi" w:hAnsiTheme="majorHAnsi" w:cs="Arial"/>
        </w:rPr>
        <w:t xml:space="preserve">se puede </w:t>
      </w:r>
      <w:r w:rsidR="00825F10" w:rsidRPr="00BB0083">
        <w:rPr>
          <w:rFonts w:asciiTheme="majorHAnsi" w:hAnsiTheme="majorHAnsi" w:cs="Arial"/>
        </w:rPr>
        <w:t>compr</w:t>
      </w:r>
      <w:r w:rsidR="0040666F" w:rsidRPr="00BB0083">
        <w:rPr>
          <w:rFonts w:asciiTheme="majorHAnsi" w:hAnsiTheme="majorHAnsi" w:cs="Arial"/>
        </w:rPr>
        <w:t>obar</w:t>
      </w:r>
      <w:r w:rsidR="00825F10" w:rsidRPr="00BB0083">
        <w:rPr>
          <w:rFonts w:asciiTheme="majorHAnsi" w:hAnsiTheme="majorHAnsi" w:cs="Arial"/>
        </w:rPr>
        <w:t xml:space="preserve"> también </w:t>
      </w:r>
      <w:r w:rsidR="0040666F" w:rsidRPr="00BB0083">
        <w:rPr>
          <w:rFonts w:asciiTheme="majorHAnsi" w:hAnsiTheme="majorHAnsi" w:cs="Arial"/>
        </w:rPr>
        <w:t xml:space="preserve">revisando </w:t>
      </w:r>
      <w:r w:rsidR="00825F10" w:rsidRPr="00BB0083">
        <w:rPr>
          <w:rFonts w:asciiTheme="majorHAnsi" w:hAnsiTheme="majorHAnsi" w:cs="Arial"/>
        </w:rPr>
        <w:t xml:space="preserve">el </w:t>
      </w:r>
      <w:proofErr w:type="spellStart"/>
      <w:r w:rsidR="00071BF2">
        <w:rPr>
          <w:rFonts w:asciiTheme="majorHAnsi" w:hAnsiTheme="majorHAnsi" w:cs="Arial"/>
        </w:rPr>
        <w:t>Policy</w:t>
      </w:r>
      <w:proofErr w:type="spellEnd"/>
      <w:r w:rsidR="00071BF2">
        <w:rPr>
          <w:rFonts w:asciiTheme="majorHAnsi" w:hAnsiTheme="majorHAnsi" w:cs="Arial"/>
        </w:rPr>
        <w:t xml:space="preserve"> </w:t>
      </w:r>
      <w:proofErr w:type="spellStart"/>
      <w:r w:rsidR="00071BF2">
        <w:rPr>
          <w:rFonts w:asciiTheme="majorHAnsi" w:hAnsiTheme="majorHAnsi" w:cs="Arial"/>
        </w:rPr>
        <w:t>P</w:t>
      </w:r>
      <w:r w:rsidR="00825F10" w:rsidRPr="00BB0083">
        <w:rPr>
          <w:rFonts w:asciiTheme="majorHAnsi" w:hAnsiTheme="majorHAnsi" w:cs="Arial"/>
        </w:rPr>
        <w:t>aper</w:t>
      </w:r>
      <w:proofErr w:type="spellEnd"/>
      <w:r w:rsidR="00825F10" w:rsidRPr="00BB0083">
        <w:rPr>
          <w:rFonts w:asciiTheme="majorHAnsi" w:hAnsiTheme="majorHAnsi" w:cs="Arial"/>
        </w:rPr>
        <w:t xml:space="preserve"> </w:t>
      </w:r>
      <w:r w:rsidR="0040666F" w:rsidRPr="00BB0083">
        <w:rPr>
          <w:rFonts w:asciiTheme="majorHAnsi" w:hAnsiTheme="majorHAnsi" w:cs="Arial"/>
        </w:rPr>
        <w:t xml:space="preserve">n. 1 </w:t>
      </w:r>
      <w:r w:rsidR="00825F10" w:rsidRPr="00BB0083">
        <w:rPr>
          <w:rFonts w:asciiTheme="majorHAnsi" w:hAnsiTheme="majorHAnsi" w:cs="Arial"/>
        </w:rPr>
        <w:t>y su</w:t>
      </w:r>
      <w:r w:rsidR="0040666F" w:rsidRPr="00BB0083">
        <w:rPr>
          <w:rFonts w:asciiTheme="majorHAnsi" w:hAnsiTheme="majorHAnsi" w:cs="Arial"/>
        </w:rPr>
        <w:t xml:space="preserve"> primer</w:t>
      </w:r>
      <w:r w:rsidR="00825F10" w:rsidRPr="00BB0083">
        <w:rPr>
          <w:rFonts w:asciiTheme="majorHAnsi" w:hAnsiTheme="majorHAnsi" w:cs="Arial"/>
        </w:rPr>
        <w:t xml:space="preserve"> Anexo,</w:t>
      </w:r>
      <w:r w:rsidRPr="00BB0083">
        <w:rPr>
          <w:rFonts w:asciiTheme="majorHAnsi" w:hAnsiTheme="majorHAnsi" w:cs="Arial"/>
        </w:rPr>
        <w:t xml:space="preserve"> </w:t>
      </w:r>
      <w:r w:rsidR="00825F10" w:rsidRPr="00BB0083">
        <w:rPr>
          <w:rFonts w:asciiTheme="majorHAnsi" w:hAnsiTheme="majorHAnsi" w:cs="Arial"/>
        </w:rPr>
        <w:t>ya cuenta con una definición y aterrizaje bastante avanzados.</w:t>
      </w:r>
      <w:r w:rsidR="0040666F" w:rsidRPr="00BB0083">
        <w:rPr>
          <w:rFonts w:asciiTheme="majorHAnsi" w:hAnsiTheme="majorHAnsi" w:cs="Arial"/>
        </w:rPr>
        <w:t xml:space="preserve"> </w:t>
      </w:r>
    </w:p>
    <w:p w:rsidR="0040666F" w:rsidRPr="00BB0083" w:rsidRDefault="0040666F" w:rsidP="00B71BDE">
      <w:pPr>
        <w:jc w:val="both"/>
        <w:rPr>
          <w:rFonts w:asciiTheme="majorHAnsi" w:hAnsiTheme="majorHAnsi" w:cs="Arial"/>
          <w:u w:val="single"/>
        </w:rPr>
      </w:pPr>
    </w:p>
    <w:p w:rsidR="00B71BDE" w:rsidRPr="00BB0083" w:rsidRDefault="00B71BDE" w:rsidP="00B71BDE">
      <w:pPr>
        <w:jc w:val="both"/>
        <w:rPr>
          <w:rFonts w:asciiTheme="majorHAnsi" w:hAnsiTheme="majorHAnsi" w:cs="Arial"/>
          <w:u w:val="single"/>
        </w:rPr>
      </w:pPr>
      <w:r w:rsidRPr="00BB0083">
        <w:rPr>
          <w:rFonts w:asciiTheme="majorHAnsi" w:hAnsiTheme="majorHAnsi" w:cs="Arial"/>
          <w:u w:val="single"/>
        </w:rPr>
        <w:t>Definición propuesta</w:t>
      </w:r>
      <w:r w:rsidR="007C3725" w:rsidRPr="00BB0083">
        <w:rPr>
          <w:rFonts w:asciiTheme="majorHAnsi" w:hAnsiTheme="majorHAnsi" w:cs="Arial"/>
          <w:u w:val="single"/>
        </w:rPr>
        <w:t xml:space="preserve"> sobre la base de la que se encuentra </w:t>
      </w:r>
      <w:r w:rsidR="004E64EE" w:rsidRPr="00BB0083">
        <w:rPr>
          <w:rFonts w:asciiTheme="majorHAnsi" w:hAnsiTheme="majorHAnsi" w:cs="Arial"/>
          <w:u w:val="single"/>
        </w:rPr>
        <w:t xml:space="preserve">actualmente </w:t>
      </w:r>
      <w:r w:rsidR="007C3725" w:rsidRPr="00BB0083">
        <w:rPr>
          <w:rFonts w:asciiTheme="majorHAnsi" w:hAnsiTheme="majorHAnsi" w:cs="Arial"/>
          <w:u w:val="single"/>
        </w:rPr>
        <w:t>en el texto</w:t>
      </w:r>
    </w:p>
    <w:p w:rsidR="007C3725" w:rsidRPr="00BB0083" w:rsidRDefault="007C3725" w:rsidP="00BB0083">
      <w:pPr>
        <w:spacing w:before="20" w:after="120" w:line="264" w:lineRule="auto"/>
        <w:jc w:val="both"/>
        <w:rPr>
          <w:rFonts w:asciiTheme="majorHAnsi" w:hAnsiTheme="majorHAnsi" w:cs="Arial"/>
          <w:b/>
        </w:rPr>
      </w:pPr>
      <w:r w:rsidRPr="00BB0083">
        <w:rPr>
          <w:rFonts w:asciiTheme="majorHAnsi" w:hAnsiTheme="majorHAnsi" w:cs="Arial"/>
          <w:b/>
        </w:rPr>
        <w:t xml:space="preserve">Nos comprometemos a la realización </w:t>
      </w:r>
      <w:r w:rsidRPr="00BB0083">
        <w:rPr>
          <w:rFonts w:asciiTheme="majorHAnsi" w:hAnsiTheme="majorHAnsi" w:cs="Arial"/>
          <w:b/>
        </w:rPr>
        <w:t>d</w:t>
      </w:r>
      <w:r w:rsidRPr="00BB0083">
        <w:rPr>
          <w:rFonts w:asciiTheme="majorHAnsi" w:hAnsiTheme="majorHAnsi" w:cs="Arial"/>
          <w:b/>
        </w:rPr>
        <w:t xml:space="preserve">el Derecho a la Ciudad </w:t>
      </w:r>
      <w:r w:rsidRPr="00BB0083">
        <w:rPr>
          <w:rFonts w:asciiTheme="majorHAnsi" w:hAnsiTheme="majorHAnsi" w:cs="Arial"/>
          <w:b/>
        </w:rPr>
        <w:t xml:space="preserve">que incluye </w:t>
      </w:r>
      <w:r w:rsidRPr="00BB0083">
        <w:rPr>
          <w:rFonts w:asciiTheme="majorHAnsi" w:hAnsiTheme="majorHAnsi" w:cs="Arial"/>
          <w:b/>
        </w:rPr>
        <w:t xml:space="preserve">los derechos </w:t>
      </w:r>
      <w:r w:rsidRPr="00BB0083">
        <w:rPr>
          <w:rFonts w:asciiTheme="majorHAnsi" w:hAnsiTheme="majorHAnsi" w:cs="Arial"/>
          <w:b/>
        </w:rPr>
        <w:t xml:space="preserve">humanos </w:t>
      </w:r>
      <w:r w:rsidRPr="00BB0083">
        <w:rPr>
          <w:rFonts w:asciiTheme="majorHAnsi" w:hAnsiTheme="majorHAnsi" w:cs="Arial"/>
          <w:b/>
        </w:rPr>
        <w:t xml:space="preserve">existentes, </w:t>
      </w:r>
      <w:r w:rsidRPr="00BB0083">
        <w:rPr>
          <w:rFonts w:asciiTheme="majorHAnsi" w:hAnsiTheme="majorHAnsi" w:cs="Arial"/>
          <w:b/>
        </w:rPr>
        <w:t xml:space="preserve">estableciendo </w:t>
      </w:r>
      <w:r w:rsidRPr="00BB0083">
        <w:rPr>
          <w:rFonts w:asciiTheme="majorHAnsi" w:hAnsiTheme="majorHAnsi" w:cs="Arial"/>
          <w:b/>
        </w:rPr>
        <w:t>que todos los habitantes, de las gen</w:t>
      </w:r>
      <w:r w:rsidRPr="00BB0083">
        <w:rPr>
          <w:rFonts w:asciiTheme="majorHAnsi" w:hAnsiTheme="majorHAnsi" w:cs="Arial"/>
          <w:b/>
        </w:rPr>
        <w:t>eraciones presentes y futuras, puedan</w:t>
      </w:r>
      <w:r w:rsidRPr="00BB0083">
        <w:rPr>
          <w:rFonts w:asciiTheme="majorHAnsi" w:hAnsiTheme="majorHAnsi" w:cs="Arial"/>
          <w:b/>
        </w:rPr>
        <w:t xml:space="preserve"> habitar, usar y producir </w:t>
      </w:r>
      <w:r w:rsidRPr="00BB0083">
        <w:rPr>
          <w:rFonts w:asciiTheme="majorHAnsi" w:hAnsiTheme="majorHAnsi" w:cs="Arial"/>
          <w:b/>
        </w:rPr>
        <w:t xml:space="preserve">de forma individual o colectiva </w:t>
      </w:r>
      <w:r w:rsidRPr="00BB0083">
        <w:rPr>
          <w:rFonts w:asciiTheme="majorHAnsi" w:hAnsiTheme="majorHAnsi" w:cs="Arial"/>
          <w:b/>
        </w:rPr>
        <w:t>ciudades justas, inclu</w:t>
      </w:r>
      <w:r w:rsidRPr="00BB0083">
        <w:rPr>
          <w:rFonts w:asciiTheme="majorHAnsi" w:hAnsiTheme="majorHAnsi" w:cs="Arial"/>
          <w:b/>
        </w:rPr>
        <w:t>sivas y sostenibles, que son entendidas</w:t>
      </w:r>
      <w:r w:rsidRPr="00BB0083">
        <w:rPr>
          <w:rFonts w:asciiTheme="majorHAnsi" w:hAnsiTheme="majorHAnsi" w:cs="Arial"/>
          <w:b/>
        </w:rPr>
        <w:t xml:space="preserve"> como un bien común esencial para</w:t>
      </w:r>
      <w:r w:rsidRPr="00BB0083">
        <w:rPr>
          <w:rFonts w:asciiTheme="majorHAnsi" w:hAnsiTheme="majorHAnsi" w:cs="Arial"/>
          <w:b/>
        </w:rPr>
        <w:t xml:space="preserve"> lograr</w:t>
      </w:r>
      <w:r w:rsidRPr="00BB0083">
        <w:rPr>
          <w:rFonts w:asciiTheme="majorHAnsi" w:hAnsiTheme="majorHAnsi" w:cs="Arial"/>
          <w:b/>
        </w:rPr>
        <w:t xml:space="preserve"> una alta calidad de vida.</w:t>
      </w:r>
    </w:p>
    <w:p w:rsidR="00BB0083" w:rsidRPr="00BB0083" w:rsidRDefault="00BB0083" w:rsidP="00BB0083">
      <w:pPr>
        <w:spacing w:before="20" w:after="120" w:line="264" w:lineRule="auto"/>
        <w:jc w:val="both"/>
        <w:rPr>
          <w:rFonts w:asciiTheme="majorHAnsi" w:hAnsiTheme="majorHAnsi" w:cs="Arial"/>
          <w:b/>
        </w:rPr>
      </w:pPr>
      <w:r w:rsidRPr="00BB0083">
        <w:rPr>
          <w:rFonts w:asciiTheme="majorHAnsi" w:hAnsiTheme="majorHAnsi" w:cs="Arial"/>
          <w:u w:val="single"/>
        </w:rPr>
        <w:lastRenderedPageBreak/>
        <w:t>Definición</w:t>
      </w:r>
      <w:r w:rsidRPr="00BB0083">
        <w:rPr>
          <w:rFonts w:asciiTheme="majorHAnsi" w:hAnsiTheme="majorHAnsi" w:cs="Arial"/>
          <w:u w:val="single"/>
        </w:rPr>
        <w:t xml:space="preserve"> propuesta sobre la base de la empleada en la Carta de la Ciudad de México por el derecho a la Ciudad que fue consensuada con números actores</w:t>
      </w:r>
    </w:p>
    <w:p w:rsidR="00196D0E" w:rsidRPr="00BB0083" w:rsidRDefault="00BB0083" w:rsidP="00BB0083">
      <w:pPr>
        <w:spacing w:before="20" w:after="120" w:line="264" w:lineRule="auto"/>
        <w:jc w:val="both"/>
        <w:rPr>
          <w:rFonts w:asciiTheme="majorHAnsi" w:hAnsiTheme="majorHAnsi" w:cs="Arial"/>
          <w:b/>
        </w:rPr>
      </w:pPr>
      <w:r w:rsidRPr="00BB0083">
        <w:rPr>
          <w:rFonts w:asciiTheme="majorHAnsi" w:hAnsiTheme="majorHAnsi" w:cs="Arial"/>
          <w:b/>
        </w:rPr>
        <w:t>El Derecho a la Ciudad es el usufructo equitativo de las ciudades dentro de los principios de sustentabilidad, democracia, equidad y justicia social. Es un derecho colectivo de los habitantes de las ciudades, que les confiere legitimidad de acción y de organización, basado en el respeto a sus diferencias, expresiones y prácticas culturales, con el objetivo de alcanzar el pleno ejercicio del derecho a la libre autodeterminación y a un nivel de vida adecuado. El Derecho a la Ciudad es interdependiente de todos los derechos humanos internacionalmente reconocidos, concebidos integralmente, e incluye, por tanto, todos los derechos civiles, políticos, económicos, sociales, culturales y ambientales reglamentados en los tratados internacionales de derechos humanos.</w:t>
      </w:r>
    </w:p>
    <w:p w:rsidR="00BB0083" w:rsidRPr="00BB0083" w:rsidRDefault="00BB0083" w:rsidP="00BB0083">
      <w:pPr>
        <w:pStyle w:val="Prrafodelista"/>
        <w:spacing w:before="20" w:after="120" w:line="264" w:lineRule="auto"/>
        <w:ind w:left="360"/>
        <w:jc w:val="both"/>
        <w:rPr>
          <w:rFonts w:asciiTheme="majorHAnsi" w:hAnsiTheme="majorHAnsi" w:cs="Arial"/>
          <w:b/>
        </w:rPr>
      </w:pPr>
    </w:p>
    <w:p w:rsidR="00196D0E" w:rsidRPr="00BB0083" w:rsidRDefault="00196D0E" w:rsidP="00FC49C9">
      <w:pPr>
        <w:pStyle w:val="Prrafodelista"/>
        <w:numPr>
          <w:ilvl w:val="0"/>
          <w:numId w:val="3"/>
        </w:numPr>
        <w:spacing w:before="20" w:after="120" w:line="264" w:lineRule="auto"/>
        <w:jc w:val="both"/>
        <w:rPr>
          <w:rFonts w:asciiTheme="majorHAnsi" w:hAnsiTheme="majorHAnsi" w:cs="Arial"/>
          <w:b/>
          <w:i/>
        </w:rPr>
      </w:pPr>
      <w:r w:rsidRPr="00BB0083">
        <w:rPr>
          <w:rFonts w:asciiTheme="majorHAnsi" w:hAnsiTheme="majorHAnsi" w:cs="Arial"/>
          <w:b/>
          <w:i/>
        </w:rPr>
        <w:t>Incluir el concepto de producción social del hábitat</w:t>
      </w:r>
      <w:r w:rsidR="004E64EE" w:rsidRPr="00BB0083">
        <w:rPr>
          <w:rFonts w:asciiTheme="majorHAnsi" w:hAnsiTheme="majorHAnsi" w:cs="Arial"/>
          <w:b/>
          <w:i/>
        </w:rPr>
        <w:t xml:space="preserve"> y sustituirlo al de auto-producción que se menciona en algunos puntos del documento</w:t>
      </w:r>
      <w:r w:rsidR="008F6650" w:rsidRPr="00BB0083">
        <w:rPr>
          <w:rFonts w:asciiTheme="majorHAnsi" w:hAnsiTheme="majorHAnsi" w:cs="Arial"/>
          <w:b/>
          <w:i/>
        </w:rPr>
        <w:t xml:space="preserve"> (por ejemplo párrafo 33)</w:t>
      </w:r>
    </w:p>
    <w:p w:rsidR="004E64EE" w:rsidRPr="00BB0083" w:rsidRDefault="004E64EE" w:rsidP="00BB0083">
      <w:pPr>
        <w:jc w:val="both"/>
        <w:rPr>
          <w:rFonts w:asciiTheme="majorHAnsi" w:hAnsiTheme="majorHAnsi" w:cs="Arial"/>
          <w:u w:val="single"/>
        </w:rPr>
      </w:pPr>
      <w:r w:rsidRPr="00BB0083">
        <w:rPr>
          <w:rFonts w:asciiTheme="majorHAnsi" w:hAnsiTheme="majorHAnsi" w:cs="Arial"/>
          <w:u w:val="single"/>
        </w:rPr>
        <w:t>Argumentos</w:t>
      </w:r>
    </w:p>
    <w:p w:rsidR="00BB0083" w:rsidRDefault="004E64EE" w:rsidP="00BB0083">
      <w:pPr>
        <w:spacing w:before="20" w:after="120" w:line="264" w:lineRule="auto"/>
        <w:jc w:val="both"/>
        <w:rPr>
          <w:rFonts w:asciiTheme="majorHAnsi" w:hAnsiTheme="majorHAnsi" w:cs="Arial"/>
        </w:rPr>
      </w:pPr>
      <w:r w:rsidRPr="00BB0083">
        <w:rPr>
          <w:rFonts w:asciiTheme="majorHAnsi" w:hAnsiTheme="majorHAnsi" w:cs="Arial"/>
        </w:rPr>
        <w:t xml:space="preserve">México debería presionar para incluir este concepto en la agenda considerando que ya estaba en la Agenda surgida de Hábitat II (párrafos 73, 74 79, etc.), que la actual Ley de Vivienda reconoce esta forma de producción en varios artículos </w:t>
      </w:r>
      <w:r w:rsidR="00FC49C9" w:rsidRPr="00BB0083">
        <w:rPr>
          <w:rFonts w:asciiTheme="majorHAnsi" w:hAnsiTheme="majorHAnsi" w:cs="Arial"/>
        </w:rPr>
        <w:t xml:space="preserve">(la definición se encuentra en el artículo 4 X) </w:t>
      </w:r>
      <w:r w:rsidRPr="00BB0083">
        <w:rPr>
          <w:rFonts w:asciiTheme="majorHAnsi" w:hAnsiTheme="majorHAnsi" w:cs="Arial"/>
        </w:rPr>
        <w:t xml:space="preserve">y </w:t>
      </w:r>
      <w:r w:rsidR="00D80F25" w:rsidRPr="00BB0083">
        <w:rPr>
          <w:rFonts w:asciiTheme="majorHAnsi" w:hAnsiTheme="majorHAnsi" w:cs="Arial"/>
        </w:rPr>
        <w:t xml:space="preserve">le dedica </w:t>
      </w:r>
      <w:r w:rsidRPr="00BB0083">
        <w:rPr>
          <w:rFonts w:asciiTheme="majorHAnsi" w:hAnsiTheme="majorHAnsi" w:cs="Arial"/>
        </w:rPr>
        <w:t>el título séptimo</w:t>
      </w:r>
      <w:r w:rsidR="00D80F25" w:rsidRPr="00BB0083">
        <w:rPr>
          <w:rFonts w:asciiTheme="majorHAnsi" w:hAnsiTheme="majorHAnsi" w:cs="Arial"/>
        </w:rPr>
        <w:t xml:space="preserve"> y</w:t>
      </w:r>
      <w:r w:rsidRPr="00BB0083">
        <w:rPr>
          <w:rFonts w:asciiTheme="majorHAnsi" w:hAnsiTheme="majorHAnsi" w:cs="Arial"/>
        </w:rPr>
        <w:t xml:space="preserve"> que la Declaración de la</w:t>
      </w:r>
      <w:r w:rsidR="00D80F25" w:rsidRPr="00BB0083">
        <w:rPr>
          <w:rFonts w:asciiTheme="majorHAnsi" w:hAnsiTheme="majorHAnsi" w:cs="Arial"/>
        </w:rPr>
        <w:t xml:space="preserve"> Ciudad de México en su punto 10 la reconoce de forma explícita.</w:t>
      </w:r>
      <w:r w:rsidR="00BB0083" w:rsidRPr="00BB0083">
        <w:rPr>
          <w:rFonts w:asciiTheme="majorHAnsi" w:hAnsiTheme="majorHAnsi" w:cs="Arial"/>
        </w:rPr>
        <w:t xml:space="preserve"> </w:t>
      </w:r>
    </w:p>
    <w:p w:rsidR="00352824" w:rsidRDefault="00BB0083" w:rsidP="00BB0083">
      <w:pPr>
        <w:spacing w:before="20" w:after="120" w:line="264" w:lineRule="auto"/>
        <w:jc w:val="both"/>
        <w:rPr>
          <w:rFonts w:asciiTheme="majorHAnsi" w:hAnsiTheme="majorHAnsi" w:cs="Arial"/>
        </w:rPr>
      </w:pPr>
      <w:r>
        <w:rPr>
          <w:rFonts w:asciiTheme="majorHAnsi" w:hAnsiTheme="majorHAnsi" w:cs="Arial"/>
        </w:rPr>
        <w:t xml:space="preserve">Los párrafos adecuados para </w:t>
      </w:r>
      <w:r w:rsidRPr="00BB0083">
        <w:rPr>
          <w:rFonts w:asciiTheme="majorHAnsi" w:hAnsiTheme="majorHAnsi" w:cs="Arial"/>
        </w:rPr>
        <w:t>hablar</w:t>
      </w:r>
      <w:r>
        <w:rPr>
          <w:rFonts w:asciiTheme="majorHAnsi" w:hAnsiTheme="majorHAnsi" w:cs="Arial"/>
        </w:rPr>
        <w:t xml:space="preserve"> </w:t>
      </w:r>
      <w:r w:rsidRPr="00BB0083">
        <w:rPr>
          <w:rFonts w:asciiTheme="majorHAnsi" w:hAnsiTheme="majorHAnsi" w:cs="Arial"/>
        </w:rPr>
        <w:t xml:space="preserve">de este tipo de </w:t>
      </w:r>
      <w:r w:rsidR="00352824">
        <w:rPr>
          <w:rFonts w:asciiTheme="majorHAnsi" w:hAnsiTheme="majorHAnsi" w:cs="Arial"/>
        </w:rPr>
        <w:t>sistema de</w:t>
      </w:r>
      <w:r w:rsidRPr="00BB0083">
        <w:rPr>
          <w:rFonts w:asciiTheme="majorHAnsi" w:hAnsiTheme="majorHAnsi" w:cs="Arial"/>
        </w:rPr>
        <w:t xml:space="preserve"> productivo</w:t>
      </w:r>
      <w:r w:rsidR="00352824">
        <w:rPr>
          <w:rFonts w:asciiTheme="majorHAnsi" w:hAnsiTheme="majorHAnsi" w:cs="Arial"/>
        </w:rPr>
        <w:t xml:space="preserve"> habitacional</w:t>
      </w:r>
      <w:r w:rsidRPr="00BB0083">
        <w:rPr>
          <w:rFonts w:asciiTheme="majorHAnsi" w:hAnsiTheme="majorHAnsi" w:cs="Arial"/>
        </w:rPr>
        <w:t xml:space="preserve"> </w:t>
      </w:r>
      <w:r>
        <w:rPr>
          <w:rFonts w:asciiTheme="majorHAnsi" w:hAnsiTheme="majorHAnsi" w:cs="Arial"/>
        </w:rPr>
        <w:t xml:space="preserve">podrían ser el </w:t>
      </w:r>
      <w:r w:rsidRPr="00BB0083">
        <w:rPr>
          <w:rFonts w:asciiTheme="majorHAnsi" w:hAnsiTheme="majorHAnsi" w:cs="Arial"/>
        </w:rPr>
        <w:t xml:space="preserve">32 y </w:t>
      </w:r>
      <w:r>
        <w:rPr>
          <w:rFonts w:asciiTheme="majorHAnsi" w:hAnsiTheme="majorHAnsi" w:cs="Arial"/>
        </w:rPr>
        <w:t xml:space="preserve">el </w:t>
      </w:r>
      <w:r w:rsidRPr="00BB0083">
        <w:rPr>
          <w:rFonts w:asciiTheme="majorHAnsi" w:hAnsiTheme="majorHAnsi" w:cs="Arial"/>
        </w:rPr>
        <w:t>110 de la Agenda</w:t>
      </w:r>
      <w:r>
        <w:rPr>
          <w:rFonts w:asciiTheme="majorHAnsi" w:hAnsiTheme="majorHAnsi" w:cs="Arial"/>
        </w:rPr>
        <w:t xml:space="preserve">. </w:t>
      </w:r>
      <w:r w:rsidR="00352824">
        <w:rPr>
          <w:rFonts w:asciiTheme="majorHAnsi" w:hAnsiTheme="majorHAnsi" w:cs="Arial"/>
        </w:rPr>
        <w:t xml:space="preserve">Por sistema de producción habitacional entendemos el conjunto de programas, proyectos y </w:t>
      </w:r>
      <w:proofErr w:type="gramStart"/>
      <w:r w:rsidR="00352824">
        <w:rPr>
          <w:rFonts w:asciiTheme="majorHAnsi" w:hAnsiTheme="majorHAnsi" w:cs="Arial"/>
        </w:rPr>
        <w:t>actividades relativos a los procesos de planeación, construcción y distribución de la vivienda, conducidos por los promotores o productores que trabajan en forma organizada, planificada y continua</w:t>
      </w:r>
      <w:proofErr w:type="gramEnd"/>
      <w:r w:rsidR="00352824">
        <w:rPr>
          <w:rFonts w:asciiTheme="majorHAnsi" w:hAnsiTheme="majorHAnsi" w:cs="Arial"/>
        </w:rPr>
        <w:t xml:space="preserve">, bajo esquemas de operación estructurales. Todo sistema de producción habitacional requiere para operar adecuadamente de un tipo de sistema integrado y específico de instrumentos de apoyo (jurídicos, financieros, </w:t>
      </w:r>
      <w:proofErr w:type="spellStart"/>
      <w:r w:rsidR="00352824">
        <w:rPr>
          <w:rFonts w:asciiTheme="majorHAnsi" w:hAnsiTheme="majorHAnsi" w:cs="Arial"/>
        </w:rPr>
        <w:t>administrarivos</w:t>
      </w:r>
      <w:proofErr w:type="spellEnd"/>
      <w:r w:rsidR="00352824">
        <w:rPr>
          <w:rFonts w:asciiTheme="majorHAnsi" w:hAnsiTheme="majorHAnsi" w:cs="Arial"/>
        </w:rPr>
        <w:t>, programáticos, fiscales y de fomento).</w:t>
      </w:r>
    </w:p>
    <w:p w:rsidR="00BB0083" w:rsidRPr="00BB0083" w:rsidRDefault="00352824" w:rsidP="00BB0083">
      <w:pPr>
        <w:spacing w:before="20" w:after="120" w:line="264" w:lineRule="auto"/>
        <w:jc w:val="both"/>
        <w:rPr>
          <w:rFonts w:asciiTheme="majorHAnsi" w:hAnsiTheme="majorHAnsi" w:cs="Arial"/>
        </w:rPr>
      </w:pPr>
      <w:r>
        <w:rPr>
          <w:rFonts w:asciiTheme="majorHAnsi" w:hAnsiTheme="majorHAnsi" w:cs="Arial"/>
        </w:rPr>
        <w:t xml:space="preserve"> </w:t>
      </w:r>
      <w:r w:rsidR="00BB0083">
        <w:rPr>
          <w:rFonts w:asciiTheme="majorHAnsi" w:hAnsiTheme="majorHAnsi" w:cs="Arial"/>
        </w:rPr>
        <w:t xml:space="preserve">Se debería </w:t>
      </w:r>
      <w:r w:rsidR="00BB0083" w:rsidRPr="00BB0083">
        <w:rPr>
          <w:rFonts w:asciiTheme="majorHAnsi" w:hAnsiTheme="majorHAnsi" w:cs="Arial"/>
        </w:rPr>
        <w:t>precisa</w:t>
      </w:r>
      <w:r w:rsidR="00BB0083">
        <w:rPr>
          <w:rFonts w:asciiTheme="majorHAnsi" w:hAnsiTheme="majorHAnsi" w:cs="Arial"/>
        </w:rPr>
        <w:t>r</w:t>
      </w:r>
      <w:r w:rsidR="00BB0083" w:rsidRPr="00BB0083">
        <w:rPr>
          <w:rFonts w:asciiTheme="majorHAnsi" w:hAnsiTheme="majorHAnsi" w:cs="Arial"/>
        </w:rPr>
        <w:t xml:space="preserve"> que es necesario que </w:t>
      </w:r>
      <w:r>
        <w:rPr>
          <w:rFonts w:asciiTheme="majorHAnsi" w:hAnsiTheme="majorHAnsi" w:cs="Arial"/>
        </w:rPr>
        <w:t>la producción social del hábitat cuente con</w:t>
      </w:r>
      <w:r w:rsidR="00BB0083" w:rsidRPr="00BB0083">
        <w:rPr>
          <w:rFonts w:asciiTheme="majorHAnsi" w:hAnsiTheme="majorHAnsi" w:cs="Arial"/>
        </w:rPr>
        <w:t xml:space="preserve"> suelo servido y c</w:t>
      </w:r>
      <w:r>
        <w:rPr>
          <w:rFonts w:asciiTheme="majorHAnsi" w:hAnsiTheme="majorHAnsi" w:cs="Arial"/>
        </w:rPr>
        <w:t xml:space="preserve">ercano a los centros urbanos, </w:t>
      </w:r>
      <w:r w:rsidR="00BB0083" w:rsidRPr="00BB0083">
        <w:rPr>
          <w:rFonts w:asciiTheme="majorHAnsi" w:hAnsiTheme="majorHAnsi" w:cs="Arial"/>
        </w:rPr>
        <w:t xml:space="preserve">que puede llevarse a cabo en el marco de procesos cooperativos y beneficiarse de las alianzas público-sociales. </w:t>
      </w:r>
    </w:p>
    <w:p w:rsidR="00196D0E" w:rsidRPr="00BB0083" w:rsidRDefault="00196D0E" w:rsidP="00BB0083">
      <w:pPr>
        <w:spacing w:before="20" w:after="120" w:line="264" w:lineRule="auto"/>
        <w:jc w:val="both"/>
        <w:rPr>
          <w:rFonts w:asciiTheme="majorHAnsi" w:hAnsiTheme="majorHAnsi" w:cs="Arial"/>
        </w:rPr>
      </w:pPr>
    </w:p>
    <w:p w:rsidR="00D80F25" w:rsidRPr="00BB0083" w:rsidRDefault="008F6650" w:rsidP="00BB0083">
      <w:pPr>
        <w:spacing w:before="20" w:after="120" w:line="264" w:lineRule="auto"/>
        <w:jc w:val="both"/>
        <w:rPr>
          <w:rFonts w:asciiTheme="majorHAnsi" w:hAnsiTheme="majorHAnsi" w:cs="Arial"/>
          <w:u w:val="single"/>
        </w:rPr>
      </w:pPr>
      <w:r w:rsidRPr="00BB0083">
        <w:rPr>
          <w:rFonts w:asciiTheme="majorHAnsi" w:hAnsiTheme="majorHAnsi" w:cs="Arial"/>
          <w:u w:val="single"/>
        </w:rPr>
        <w:t>Definición propuesta</w:t>
      </w:r>
    </w:p>
    <w:p w:rsidR="00FC49C9" w:rsidRPr="00BB0083" w:rsidRDefault="00FC49C9" w:rsidP="00BB0083">
      <w:pPr>
        <w:spacing w:before="20" w:after="120" w:line="264" w:lineRule="auto"/>
        <w:jc w:val="both"/>
        <w:rPr>
          <w:rFonts w:asciiTheme="majorHAnsi" w:hAnsiTheme="majorHAnsi" w:cs="Arial"/>
          <w:b/>
        </w:rPr>
      </w:pPr>
      <w:r w:rsidRPr="00BB0083">
        <w:rPr>
          <w:rFonts w:asciiTheme="majorHAnsi" w:hAnsiTheme="majorHAnsi" w:cs="Arial"/>
          <w:b/>
        </w:rPr>
        <w:t xml:space="preserve">Todos aquellos procesos generadores de espacios habitables, componentes urbanos y viviendas que se realizan bajo el control de auto-productores y otros agentes sociales que operan sin fines de lucro. Los procesos de producción y gestión social del hábitat se dan tanto en el ámbito rural como en el urbano, y pueden tener origen en las propias familias actuando individualmente, en grupos organizados informales, en empresas sociales como las cooperativas, o en las ONG, entre otros. Las variantes autogestionarias incluyen desde la auto producción individual espontánea de vivienda </w:t>
      </w:r>
      <w:r w:rsidRPr="00BB0083">
        <w:rPr>
          <w:rFonts w:asciiTheme="majorHAnsi" w:hAnsiTheme="majorHAnsi" w:cs="Arial"/>
          <w:b/>
        </w:rPr>
        <w:lastRenderedPageBreak/>
        <w:t>hasta la colectiva que implica un alto nivel organizativo de las /os participantes y, en muchos casos, procesos complejos de producción y gestión de otros componentes del hábitat.</w:t>
      </w:r>
    </w:p>
    <w:p w:rsidR="00B71BDE" w:rsidRPr="00BB0083" w:rsidRDefault="00B71BDE" w:rsidP="00B71BDE">
      <w:pPr>
        <w:pStyle w:val="Cuerpo"/>
        <w:ind w:left="360"/>
        <w:jc w:val="both"/>
        <w:rPr>
          <w:rFonts w:asciiTheme="majorHAnsi" w:hAnsiTheme="majorHAnsi" w:cs="Arial"/>
          <w:lang w:val="es-MX"/>
        </w:rPr>
      </w:pPr>
    </w:p>
    <w:p w:rsidR="00B71BDE" w:rsidRPr="00BB0083" w:rsidRDefault="007C3725" w:rsidP="00FC49C9">
      <w:pPr>
        <w:pStyle w:val="Prrafodelista"/>
        <w:numPr>
          <w:ilvl w:val="0"/>
          <w:numId w:val="3"/>
        </w:numPr>
        <w:jc w:val="both"/>
        <w:rPr>
          <w:rFonts w:asciiTheme="majorHAnsi" w:hAnsiTheme="majorHAnsi" w:cs="Arial"/>
          <w:b/>
          <w:i/>
        </w:rPr>
      </w:pPr>
      <w:r w:rsidRPr="00BB0083">
        <w:rPr>
          <w:rFonts w:asciiTheme="majorHAnsi" w:hAnsiTheme="majorHAnsi" w:cs="Arial"/>
          <w:b/>
          <w:i/>
        </w:rPr>
        <w:t>Defender el concepto de función social de la propiedad</w:t>
      </w:r>
      <w:r w:rsidR="00196D0E" w:rsidRPr="00BB0083">
        <w:rPr>
          <w:rFonts w:asciiTheme="majorHAnsi" w:hAnsiTheme="majorHAnsi" w:cs="Arial"/>
          <w:b/>
          <w:i/>
        </w:rPr>
        <w:t xml:space="preserve"> (varios párrafos entre los cuales el 5, 52, 68, 105)</w:t>
      </w:r>
    </w:p>
    <w:p w:rsidR="007C3725" w:rsidRPr="00BB0083" w:rsidRDefault="007C3725" w:rsidP="007C3725">
      <w:pPr>
        <w:jc w:val="both"/>
        <w:rPr>
          <w:rFonts w:asciiTheme="majorHAnsi" w:hAnsiTheme="majorHAnsi" w:cs="Arial"/>
          <w:u w:val="single"/>
        </w:rPr>
      </w:pPr>
      <w:r w:rsidRPr="00BB0083">
        <w:rPr>
          <w:rFonts w:asciiTheme="majorHAnsi" w:hAnsiTheme="majorHAnsi" w:cs="Arial"/>
          <w:u w:val="single"/>
        </w:rPr>
        <w:t>Argumentos</w:t>
      </w:r>
    </w:p>
    <w:p w:rsidR="00196D0E" w:rsidRPr="00BB0083" w:rsidRDefault="007C3725" w:rsidP="007C3725">
      <w:pPr>
        <w:jc w:val="both"/>
        <w:rPr>
          <w:rFonts w:asciiTheme="majorHAnsi" w:hAnsiTheme="majorHAnsi" w:cs="Arial"/>
        </w:rPr>
      </w:pPr>
      <w:r w:rsidRPr="00BB0083">
        <w:rPr>
          <w:rFonts w:asciiTheme="majorHAnsi" w:hAnsiTheme="majorHAnsi" w:cs="Arial"/>
        </w:rPr>
        <w:t>La función social</w:t>
      </w:r>
      <w:r w:rsidR="00196D0E" w:rsidRPr="00BB0083">
        <w:rPr>
          <w:rFonts w:asciiTheme="majorHAnsi" w:hAnsiTheme="majorHAnsi" w:cs="Arial"/>
        </w:rPr>
        <w:t>, mencionada en distintos apartados del documento,</w:t>
      </w:r>
      <w:r w:rsidRPr="00BB0083">
        <w:rPr>
          <w:rFonts w:asciiTheme="majorHAnsi" w:hAnsiTheme="majorHAnsi" w:cs="Arial"/>
        </w:rPr>
        <w:t xml:space="preserve"> </w:t>
      </w:r>
      <w:r w:rsidR="00196D0E" w:rsidRPr="00BB0083">
        <w:rPr>
          <w:rFonts w:asciiTheme="majorHAnsi" w:hAnsiTheme="majorHAnsi" w:cs="Arial"/>
        </w:rPr>
        <w:t>constituye</w:t>
      </w:r>
      <w:r w:rsidRPr="00BB0083">
        <w:rPr>
          <w:rFonts w:asciiTheme="majorHAnsi" w:hAnsiTheme="majorHAnsi" w:cs="Arial"/>
        </w:rPr>
        <w:t xml:space="preserve"> un aspecto fundamental del derecho a la ciudad</w:t>
      </w:r>
      <w:r w:rsidR="00196D0E" w:rsidRPr="00BB0083">
        <w:rPr>
          <w:rFonts w:asciiTheme="majorHAnsi" w:hAnsiTheme="majorHAnsi" w:cs="Arial"/>
        </w:rPr>
        <w:t>. Permite</w:t>
      </w:r>
      <w:r w:rsidRPr="00BB0083">
        <w:rPr>
          <w:rFonts w:asciiTheme="majorHAnsi" w:hAnsiTheme="majorHAnsi" w:cs="Arial"/>
        </w:rPr>
        <w:t xml:space="preserve"> el acceso al suelo de los sectores menos atendidos lo que a su vez facilita </w:t>
      </w:r>
      <w:r w:rsidR="00196D0E" w:rsidRPr="00BB0083">
        <w:rPr>
          <w:rFonts w:asciiTheme="majorHAnsi" w:hAnsiTheme="majorHAnsi" w:cs="Arial"/>
        </w:rPr>
        <w:t xml:space="preserve">el combate a la informalidad, la compactación de las ciudades y la consecuente defensa del medio ambiente y del territorio </w:t>
      </w:r>
      <w:proofErr w:type="spellStart"/>
      <w:r w:rsidR="00196D0E" w:rsidRPr="00BB0083">
        <w:rPr>
          <w:rFonts w:asciiTheme="majorHAnsi" w:hAnsiTheme="majorHAnsi" w:cs="Arial"/>
        </w:rPr>
        <w:t>semi</w:t>
      </w:r>
      <w:proofErr w:type="spellEnd"/>
      <w:r w:rsidR="00196D0E" w:rsidRPr="00BB0083">
        <w:rPr>
          <w:rFonts w:asciiTheme="majorHAnsi" w:hAnsiTheme="majorHAnsi" w:cs="Arial"/>
        </w:rPr>
        <w:t xml:space="preserve"> rural y rural. Para que esto suceda es necesario que el concepto permanezca en el documento y que se precise además </w:t>
      </w:r>
      <w:r w:rsidR="000E21EB" w:rsidRPr="00BB0083">
        <w:rPr>
          <w:rFonts w:asciiTheme="majorHAnsi" w:hAnsiTheme="majorHAnsi" w:cs="Arial"/>
        </w:rPr>
        <w:t xml:space="preserve">(por ejemplo en el párrafo 110) </w:t>
      </w:r>
      <w:r w:rsidR="00196D0E" w:rsidRPr="00BB0083">
        <w:rPr>
          <w:rFonts w:asciiTheme="majorHAnsi" w:hAnsiTheme="majorHAnsi" w:cs="Arial"/>
        </w:rPr>
        <w:t xml:space="preserve">que las </w:t>
      </w:r>
      <w:r w:rsidR="00D80F25" w:rsidRPr="00BB0083">
        <w:rPr>
          <w:rFonts w:asciiTheme="majorHAnsi" w:hAnsiTheme="majorHAnsi" w:cs="Arial"/>
        </w:rPr>
        <w:t>plusvalías</w:t>
      </w:r>
      <w:r w:rsidR="00196D0E" w:rsidRPr="00BB0083">
        <w:rPr>
          <w:rFonts w:asciiTheme="majorHAnsi" w:hAnsiTheme="majorHAnsi" w:cs="Arial"/>
        </w:rPr>
        <w:t xml:space="preserve"> captadas se etiqueten a beneficio de los sectores que tienen mayor dificultad de acceder a un hábitat digno.</w:t>
      </w:r>
    </w:p>
    <w:p w:rsidR="000E21EB" w:rsidRPr="00BB0083" w:rsidRDefault="000E21EB" w:rsidP="00FC49C9">
      <w:pPr>
        <w:pStyle w:val="Prrafodelista"/>
        <w:numPr>
          <w:ilvl w:val="0"/>
          <w:numId w:val="3"/>
        </w:numPr>
        <w:jc w:val="both"/>
        <w:rPr>
          <w:rFonts w:asciiTheme="majorHAnsi" w:hAnsiTheme="majorHAnsi" w:cs="Arial"/>
          <w:b/>
          <w:i/>
        </w:rPr>
      </w:pPr>
      <w:r w:rsidRPr="00BB0083">
        <w:rPr>
          <w:rFonts w:asciiTheme="majorHAnsi" w:hAnsiTheme="majorHAnsi" w:cs="Arial"/>
          <w:b/>
          <w:i/>
        </w:rPr>
        <w:t>Incluir en el documento la economía social, solidaria, local, de pequeña escala</w:t>
      </w:r>
      <w:r w:rsidR="002A0C8D" w:rsidRPr="00BB0083">
        <w:rPr>
          <w:rFonts w:asciiTheme="majorHAnsi" w:hAnsiTheme="majorHAnsi" w:cs="Arial"/>
          <w:b/>
          <w:i/>
        </w:rPr>
        <w:t xml:space="preserve"> y visibilizar la necesidad de una relación respetuosa entre el campo y la-ciudad</w:t>
      </w:r>
    </w:p>
    <w:p w:rsidR="000E21EB" w:rsidRPr="00BB0083" w:rsidRDefault="000E21EB" w:rsidP="000E21EB">
      <w:pPr>
        <w:jc w:val="both"/>
        <w:rPr>
          <w:rFonts w:asciiTheme="majorHAnsi" w:hAnsiTheme="majorHAnsi" w:cs="Arial"/>
          <w:u w:val="single"/>
        </w:rPr>
      </w:pPr>
      <w:r w:rsidRPr="00BB0083">
        <w:rPr>
          <w:rFonts w:asciiTheme="majorHAnsi" w:hAnsiTheme="majorHAnsi" w:cs="Arial"/>
          <w:u w:val="single"/>
        </w:rPr>
        <w:t>Argumentos</w:t>
      </w:r>
    </w:p>
    <w:p w:rsidR="002A0C8D" w:rsidRPr="00BB0083" w:rsidRDefault="000E21EB" w:rsidP="000E21EB">
      <w:pPr>
        <w:jc w:val="both"/>
        <w:rPr>
          <w:rFonts w:asciiTheme="majorHAnsi" w:hAnsiTheme="majorHAnsi" w:cs="Arial"/>
        </w:rPr>
      </w:pPr>
      <w:r w:rsidRPr="00BB0083">
        <w:rPr>
          <w:rFonts w:asciiTheme="majorHAnsi" w:hAnsiTheme="majorHAnsi" w:cs="Arial"/>
        </w:rPr>
        <w:t>Los diferentes aportes de este tipo de economía han sido reconocido</w:t>
      </w:r>
      <w:r w:rsidR="00352824">
        <w:rPr>
          <w:rFonts w:asciiTheme="majorHAnsi" w:hAnsiTheme="majorHAnsi" w:cs="Arial"/>
        </w:rPr>
        <w:t>s</w:t>
      </w:r>
      <w:r w:rsidRPr="00BB0083">
        <w:rPr>
          <w:rFonts w:asciiTheme="majorHAnsi" w:hAnsiTheme="majorHAnsi" w:cs="Arial"/>
        </w:rPr>
        <w:t xml:space="preserve"> en distintos documentos e investigaciones y en parte también en la Declaración de la Ciudad de México (punto 8). No todo este tipo de economía es informal por lo que es positivo crear una diferencia entre las dos. Es una economía que con frecuencia se basa en la construcción de redes entre el campo y la ciudad</w:t>
      </w:r>
      <w:r w:rsidR="002A0C8D" w:rsidRPr="00BB0083">
        <w:rPr>
          <w:rFonts w:asciiTheme="majorHAnsi" w:hAnsiTheme="majorHAnsi" w:cs="Arial"/>
        </w:rPr>
        <w:t xml:space="preserve"> (por ejemplo </w:t>
      </w:r>
      <w:r w:rsidR="00352824" w:rsidRPr="00BB0083">
        <w:rPr>
          <w:rFonts w:asciiTheme="majorHAnsi" w:hAnsiTheme="majorHAnsi" w:cs="Arial"/>
        </w:rPr>
        <w:t>productores</w:t>
      </w:r>
      <w:r w:rsidR="002A0C8D" w:rsidRPr="00BB0083">
        <w:rPr>
          <w:rFonts w:asciiTheme="majorHAnsi" w:hAnsiTheme="majorHAnsi" w:cs="Arial"/>
        </w:rPr>
        <w:t>-consumidores)</w:t>
      </w:r>
      <w:r w:rsidRPr="00BB0083">
        <w:rPr>
          <w:rFonts w:asciiTheme="majorHAnsi" w:hAnsiTheme="majorHAnsi" w:cs="Arial"/>
        </w:rPr>
        <w:t xml:space="preserve">, lo que refuerza la soberanía alimentaria y facilita una relación respetuosa entre el campo y la ciudad. </w:t>
      </w:r>
    </w:p>
    <w:p w:rsidR="002A0C8D" w:rsidRPr="00BB0083" w:rsidRDefault="002A0C8D" w:rsidP="002A0C8D">
      <w:pPr>
        <w:spacing w:before="20" w:after="120" w:line="264" w:lineRule="auto"/>
        <w:ind w:left="360"/>
        <w:jc w:val="both"/>
        <w:rPr>
          <w:rFonts w:asciiTheme="majorHAnsi" w:hAnsiTheme="majorHAnsi" w:cs="Arial"/>
          <w:u w:val="single"/>
        </w:rPr>
      </w:pPr>
      <w:r w:rsidRPr="00BB0083">
        <w:rPr>
          <w:rFonts w:asciiTheme="majorHAnsi" w:hAnsiTheme="majorHAnsi" w:cs="Arial"/>
          <w:u w:val="single"/>
        </w:rPr>
        <w:t>Propuesta</w:t>
      </w:r>
    </w:p>
    <w:p w:rsidR="000E21EB" w:rsidRDefault="002A0C8D" w:rsidP="000E21EB">
      <w:pPr>
        <w:jc w:val="both"/>
        <w:rPr>
          <w:rFonts w:asciiTheme="majorHAnsi" w:hAnsiTheme="majorHAnsi" w:cs="Arial"/>
        </w:rPr>
      </w:pPr>
      <w:r w:rsidRPr="00BB0083">
        <w:rPr>
          <w:rFonts w:asciiTheme="majorHAnsi" w:hAnsiTheme="majorHAnsi" w:cs="Arial"/>
        </w:rPr>
        <w:t>Incluir este tipo de economía en los apartados 65-68 y establecer</w:t>
      </w:r>
      <w:r w:rsidR="000E21EB" w:rsidRPr="00BB0083">
        <w:rPr>
          <w:rFonts w:asciiTheme="majorHAnsi" w:hAnsiTheme="majorHAnsi" w:cs="Arial"/>
        </w:rPr>
        <w:t xml:space="preserve"> apoyos</w:t>
      </w:r>
      <w:r w:rsidRPr="00BB0083">
        <w:rPr>
          <w:rFonts w:asciiTheme="majorHAnsi" w:hAnsiTheme="majorHAnsi" w:cs="Arial"/>
        </w:rPr>
        <w:t xml:space="preserve"> específicos y flexibles desde el punto de vista administrativo, remuneración adecuada y seguridad social</w:t>
      </w:r>
      <w:r w:rsidR="00352824">
        <w:rPr>
          <w:rFonts w:asciiTheme="majorHAnsi" w:hAnsiTheme="majorHAnsi" w:cs="Arial"/>
        </w:rPr>
        <w:t xml:space="preserve"> para los/as trabajadores del sector</w:t>
      </w:r>
      <w:r w:rsidR="000E21EB" w:rsidRPr="00BB0083">
        <w:rPr>
          <w:rFonts w:asciiTheme="majorHAnsi" w:hAnsiTheme="majorHAnsi" w:cs="Arial"/>
        </w:rPr>
        <w:t>.</w:t>
      </w:r>
    </w:p>
    <w:p w:rsidR="00B04423" w:rsidRDefault="00B04423" w:rsidP="000E21EB">
      <w:pPr>
        <w:jc w:val="both"/>
        <w:rPr>
          <w:rFonts w:asciiTheme="majorHAnsi" w:hAnsiTheme="majorHAnsi" w:cs="Arial"/>
        </w:rPr>
      </w:pPr>
    </w:p>
    <w:p w:rsidR="00B04423" w:rsidRDefault="00B04423" w:rsidP="000E21EB">
      <w:pPr>
        <w:jc w:val="both"/>
        <w:rPr>
          <w:rFonts w:asciiTheme="majorHAnsi" w:hAnsiTheme="majorHAnsi" w:cs="Arial"/>
        </w:rPr>
      </w:pPr>
    </w:p>
    <w:p w:rsidR="00330C12" w:rsidRPr="00BB0083" w:rsidRDefault="00330C12" w:rsidP="00B04423">
      <w:pPr>
        <w:ind w:left="3540" w:firstLine="708"/>
        <w:jc w:val="both"/>
        <w:rPr>
          <w:rFonts w:asciiTheme="majorHAnsi" w:hAnsiTheme="majorHAnsi" w:cs="Arial"/>
        </w:rPr>
      </w:pPr>
      <w:bookmarkStart w:id="0" w:name="_GoBack"/>
      <w:bookmarkEnd w:id="0"/>
      <w:r>
        <w:rPr>
          <w:rFonts w:asciiTheme="majorHAnsi" w:hAnsiTheme="majorHAnsi" w:cs="Arial"/>
        </w:rPr>
        <w:t>Ciudad de México, 13 de mayo de 2016</w:t>
      </w:r>
    </w:p>
    <w:sectPr w:rsidR="00330C12" w:rsidRPr="00BB00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rightSans-Light">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945"/>
    <w:multiLevelType w:val="multilevel"/>
    <w:tmpl w:val="C59814C8"/>
    <w:styleLink w:val="List0"/>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0ABA2DEC"/>
    <w:multiLevelType w:val="hybridMultilevel"/>
    <w:tmpl w:val="EB4EA5B4"/>
    <w:lvl w:ilvl="0" w:tplc="5440B00E">
      <w:start w:val="1"/>
      <w:numFmt w:val="upp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084636"/>
    <w:multiLevelType w:val="hybridMultilevel"/>
    <w:tmpl w:val="2BEA09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DE"/>
    <w:rsid w:val="00071BF2"/>
    <w:rsid w:val="000E21EB"/>
    <w:rsid w:val="001767F3"/>
    <w:rsid w:val="00196D0E"/>
    <w:rsid w:val="002A0C8D"/>
    <w:rsid w:val="00330C12"/>
    <w:rsid w:val="00352824"/>
    <w:rsid w:val="0040666F"/>
    <w:rsid w:val="004E64EE"/>
    <w:rsid w:val="006B2903"/>
    <w:rsid w:val="007C3725"/>
    <w:rsid w:val="00825F10"/>
    <w:rsid w:val="008F6650"/>
    <w:rsid w:val="00B04423"/>
    <w:rsid w:val="00B71BDE"/>
    <w:rsid w:val="00BB0083"/>
    <w:rsid w:val="00D80F25"/>
    <w:rsid w:val="00FC4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BDE"/>
    <w:pPr>
      <w:ind w:left="720"/>
      <w:contextualSpacing/>
    </w:pPr>
  </w:style>
  <w:style w:type="paragraph" w:customStyle="1" w:styleId="Cuerpo">
    <w:name w:val="Cuerpo"/>
    <w:rsid w:val="00B71BD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numbering" w:customStyle="1" w:styleId="List0">
    <w:name w:val="List 0"/>
    <w:basedOn w:val="Sinlista"/>
    <w:rsid w:val="00B71BDE"/>
    <w:pPr>
      <w:numPr>
        <w:numId w:val="2"/>
      </w:numPr>
    </w:pPr>
  </w:style>
  <w:style w:type="character" w:styleId="Refdecomentario">
    <w:name w:val="annotation reference"/>
    <w:basedOn w:val="Fuentedeprrafopredeter"/>
    <w:uiPriority w:val="99"/>
    <w:semiHidden/>
    <w:unhideWhenUsed/>
    <w:rsid w:val="00B71BDE"/>
    <w:rPr>
      <w:sz w:val="16"/>
      <w:szCs w:val="16"/>
    </w:rPr>
  </w:style>
  <w:style w:type="paragraph" w:styleId="Textocomentario">
    <w:name w:val="annotation text"/>
    <w:basedOn w:val="Normal"/>
    <w:link w:val="TextocomentarioCar"/>
    <w:uiPriority w:val="99"/>
    <w:semiHidden/>
    <w:unhideWhenUsed/>
    <w:rsid w:val="00B71B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semiHidden/>
    <w:rsid w:val="00B71BDE"/>
    <w:rPr>
      <w:rFonts w:ascii="Times New Roman" w:eastAsia="Arial Unicode MS" w:hAnsi="Times New Roman" w:cs="Times New Roman"/>
      <w:sz w:val="20"/>
      <w:szCs w:val="20"/>
      <w:bdr w:val="nil"/>
      <w:lang w:val="en-US"/>
    </w:rPr>
  </w:style>
  <w:style w:type="character" w:customStyle="1" w:styleId="shorttext">
    <w:name w:val="short_text"/>
    <w:basedOn w:val="Fuentedeprrafopredeter"/>
    <w:rsid w:val="00B71BDE"/>
  </w:style>
  <w:style w:type="paragraph" w:styleId="Textodeglobo">
    <w:name w:val="Balloon Text"/>
    <w:basedOn w:val="Normal"/>
    <w:link w:val="TextodegloboCar"/>
    <w:uiPriority w:val="99"/>
    <w:semiHidden/>
    <w:unhideWhenUsed/>
    <w:rsid w:val="00B71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BDE"/>
    <w:pPr>
      <w:ind w:left="720"/>
      <w:contextualSpacing/>
    </w:pPr>
  </w:style>
  <w:style w:type="paragraph" w:customStyle="1" w:styleId="Cuerpo">
    <w:name w:val="Cuerpo"/>
    <w:rsid w:val="00B71BD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MX"/>
    </w:rPr>
  </w:style>
  <w:style w:type="numbering" w:customStyle="1" w:styleId="List0">
    <w:name w:val="List 0"/>
    <w:basedOn w:val="Sinlista"/>
    <w:rsid w:val="00B71BDE"/>
    <w:pPr>
      <w:numPr>
        <w:numId w:val="2"/>
      </w:numPr>
    </w:pPr>
  </w:style>
  <w:style w:type="character" w:styleId="Refdecomentario">
    <w:name w:val="annotation reference"/>
    <w:basedOn w:val="Fuentedeprrafopredeter"/>
    <w:uiPriority w:val="99"/>
    <w:semiHidden/>
    <w:unhideWhenUsed/>
    <w:rsid w:val="00B71BDE"/>
    <w:rPr>
      <w:sz w:val="16"/>
      <w:szCs w:val="16"/>
    </w:rPr>
  </w:style>
  <w:style w:type="paragraph" w:styleId="Textocomentario">
    <w:name w:val="annotation text"/>
    <w:basedOn w:val="Normal"/>
    <w:link w:val="TextocomentarioCar"/>
    <w:uiPriority w:val="99"/>
    <w:semiHidden/>
    <w:unhideWhenUsed/>
    <w:rsid w:val="00B71BD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semiHidden/>
    <w:rsid w:val="00B71BDE"/>
    <w:rPr>
      <w:rFonts w:ascii="Times New Roman" w:eastAsia="Arial Unicode MS" w:hAnsi="Times New Roman" w:cs="Times New Roman"/>
      <w:sz w:val="20"/>
      <w:szCs w:val="20"/>
      <w:bdr w:val="nil"/>
      <w:lang w:val="en-US"/>
    </w:rPr>
  </w:style>
  <w:style w:type="character" w:customStyle="1" w:styleId="shorttext">
    <w:name w:val="short_text"/>
    <w:basedOn w:val="Fuentedeprrafopredeter"/>
    <w:rsid w:val="00B71BDE"/>
  </w:style>
  <w:style w:type="paragraph" w:styleId="Textodeglobo">
    <w:name w:val="Balloon Text"/>
    <w:basedOn w:val="Normal"/>
    <w:link w:val="TextodegloboCar"/>
    <w:uiPriority w:val="99"/>
    <w:semiHidden/>
    <w:unhideWhenUsed/>
    <w:rsid w:val="00B71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5</cp:revision>
  <cp:lastPrinted>2016-05-13T23:55:00Z</cp:lastPrinted>
  <dcterms:created xsi:type="dcterms:W3CDTF">2016-05-13T22:25:00Z</dcterms:created>
  <dcterms:modified xsi:type="dcterms:W3CDTF">2016-05-14T00:43:00Z</dcterms:modified>
</cp:coreProperties>
</file>